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AB4868" w14:textId="3680898E" w:rsidR="00B5186B" w:rsidRPr="005E08A9" w:rsidRDefault="00065C85" w:rsidP="00065C85">
      <w:pPr>
        <w:pStyle w:val="Pagedecouverture"/>
        <w:rPr>
          <w:noProof/>
        </w:rPr>
      </w:pPr>
      <w:bookmarkStart w:id="0" w:name="LW_BM_COVERPAGE"/>
      <w:r>
        <w:rPr>
          <w:noProof/>
        </w:rPr>
        <w:pict w14:anchorId="3141DA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9D85BAE-1EE2-49ED-A578-DB4FBB33DDF9" style="width:455.25pt;height:286.5pt">
            <v:imagedata r:id="rId11" o:title=""/>
          </v:shape>
        </w:pict>
      </w:r>
    </w:p>
    <w:bookmarkEnd w:id="0"/>
    <w:p w14:paraId="213ECC8D" w14:textId="77777777" w:rsidR="000C0139" w:rsidRPr="005E08A9" w:rsidRDefault="000C0139" w:rsidP="00CE4E4E">
      <w:pPr>
        <w:rPr>
          <w:b/>
          <w:smallCaps/>
          <w:noProof/>
        </w:rPr>
        <w:sectPr w:rsidR="000C0139" w:rsidRPr="005E08A9" w:rsidSect="00065C8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794569C3" w14:textId="77DFD4CA" w:rsidR="00CE4E4E" w:rsidRPr="005E08A9" w:rsidRDefault="00517B47" w:rsidP="00CE4E4E">
      <w:pPr>
        <w:pStyle w:val="Heading1"/>
        <w:spacing w:before="120"/>
        <w:rPr>
          <w:noProof/>
        </w:rPr>
      </w:pPr>
      <w:bookmarkStart w:id="1" w:name="_GoBack"/>
      <w:bookmarkEnd w:id="1"/>
      <w:r>
        <w:rPr>
          <w:noProof/>
        </w:rPr>
        <w:lastRenderedPageBreak/>
        <w:t>Contexte</w:t>
      </w:r>
    </w:p>
    <w:p w14:paraId="4042A467" w14:textId="68300F0E" w:rsidR="00C520FE" w:rsidRPr="005E08A9" w:rsidRDefault="00C520FE" w:rsidP="00CE4E4E">
      <w:pPr>
        <w:rPr>
          <w:noProof/>
        </w:rPr>
      </w:pPr>
      <w:r>
        <w:rPr>
          <w:noProof/>
        </w:rPr>
        <w:t>Le présent rapport offre un aperçu des principales activités de recherche et d’innovation (R&amp;I) menées par l’Union et du suivi d’Horizon Europe et du programme Euratom de recherche et de formation en 2025.</w:t>
      </w:r>
    </w:p>
    <w:p w14:paraId="08050568" w14:textId="5B359012" w:rsidR="00A0153A" w:rsidRPr="005E08A9" w:rsidRDefault="00C520FE" w:rsidP="00CE4E4E">
      <w:pPr>
        <w:rPr>
          <w:noProof/>
        </w:rPr>
      </w:pPr>
      <w:r>
        <w:rPr>
          <w:noProof/>
        </w:rPr>
        <w:t xml:space="preserve">Il a été rédigé conformément à l’article 190 du </w:t>
      </w:r>
      <w:hyperlink r:id="rId18">
        <w:r>
          <w:rPr>
            <w:rStyle w:val="Hyperlink"/>
            <w:noProof/>
          </w:rPr>
          <w:t>traité sur le fonctionnement de l’Union européenne</w:t>
        </w:r>
      </w:hyperlink>
      <w:r>
        <w:rPr>
          <w:noProof/>
        </w:rPr>
        <w:t xml:space="preserve"> et à l’article 7 du </w:t>
      </w:r>
      <w:hyperlink r:id="rId19">
        <w:r>
          <w:rPr>
            <w:rStyle w:val="Hyperlink"/>
            <w:noProof/>
          </w:rPr>
          <w:t>traité Euratom</w:t>
        </w:r>
      </w:hyperlink>
      <w:r>
        <w:rPr>
          <w:noProof/>
        </w:rPr>
        <w:t xml:space="preserve">, en lien avec l’article 50 du </w:t>
      </w:r>
      <w:hyperlink r:id="rId20">
        <w:r>
          <w:rPr>
            <w:rStyle w:val="Hyperlink"/>
            <w:noProof/>
          </w:rPr>
          <w:t>règlement (UE) 2021/695 du Parlement européen et du Conseil portant établissement du programme-cadre pour la recherche et l’innovation «Horizon Europe»</w:t>
        </w:r>
      </w:hyperlink>
      <w:r>
        <w:rPr>
          <w:noProof/>
        </w:rPr>
        <w:t xml:space="preserve"> et l’article 12 du </w:t>
      </w:r>
      <w:hyperlink r:id="rId21">
        <w:r>
          <w:rPr>
            <w:rStyle w:val="Hyperlink"/>
            <w:noProof/>
          </w:rPr>
          <w:t>règlement (Euratom) 2021/765 du Conseil établissant le programme de recherche et de formation de la Communauté européenne de l’énergie atomique</w:t>
        </w:r>
      </w:hyperlink>
      <w:r>
        <w:rPr>
          <w:noProof/>
        </w:rPr>
        <w:t>.</w:t>
      </w:r>
    </w:p>
    <w:p w14:paraId="1C1700E8" w14:textId="77777777" w:rsidR="00CE4E4E" w:rsidRPr="005E08A9" w:rsidRDefault="00CE4E4E" w:rsidP="00CE4E4E">
      <w:pPr>
        <w:rPr>
          <w:noProof/>
          <w:lang w:eastAsia="en-GB"/>
        </w:rPr>
      </w:pPr>
    </w:p>
    <w:p w14:paraId="02EF642A" w14:textId="2A8CEC73" w:rsidR="00CE4E4E" w:rsidRPr="005E08A9" w:rsidRDefault="00517B47" w:rsidP="00CE4E4E">
      <w:pPr>
        <w:pStyle w:val="Heading1"/>
        <w:spacing w:before="120"/>
        <w:rPr>
          <w:noProof/>
        </w:rPr>
      </w:pPr>
      <w:r>
        <w:rPr>
          <w:noProof/>
        </w:rPr>
        <w:t>Contexte politique et évolution des politiques</w:t>
      </w:r>
    </w:p>
    <w:p w14:paraId="66DAE702" w14:textId="7A3D1A58" w:rsidR="00CE4E4E" w:rsidRPr="005E08A9" w:rsidRDefault="0087173B" w:rsidP="00CE4E4E">
      <w:pPr>
        <w:rPr>
          <w:iCs/>
          <w:noProof/>
        </w:rPr>
      </w:pPr>
      <w:r>
        <w:rPr>
          <w:noProof/>
        </w:rPr>
        <w:t>En 2025, la R&amp;I a été déterminante pour faire avancer les initiatives clés de l’UE, ce qui souligne son rôle essentiel dans le renforcement de la compétitivité. La section suivante examine l’effet transformateur de ces évolutions dans tous les secteurs, affirmant l’engagement de l’UE à favoriser une économie axée sur l’innovation.</w:t>
      </w:r>
    </w:p>
    <w:p w14:paraId="59983228" w14:textId="3888A8F1" w:rsidR="009A30F3" w:rsidRPr="005E08A9" w:rsidRDefault="00BC3547" w:rsidP="00CE4E4E">
      <w:pPr>
        <w:pStyle w:val="Heading2"/>
        <w:rPr>
          <w:noProof/>
        </w:rPr>
      </w:pPr>
      <w:r>
        <w:rPr>
          <w:noProof/>
        </w:rPr>
        <w:t>Prospérité durable, marché unique et compétitivité de l’Europe</w:t>
      </w:r>
    </w:p>
    <w:p w14:paraId="00F8EDB0" w14:textId="623AFF8B" w:rsidR="00717177" w:rsidRPr="005E08A9" w:rsidRDefault="428CB400" w:rsidP="5974E4A5">
      <w:pPr>
        <w:rPr>
          <w:rFonts w:asciiTheme="minorHAnsi" w:eastAsiaTheme="minorEastAsia" w:hAnsiTheme="minorHAnsi" w:cstheme="minorBidi"/>
          <w:noProof/>
          <w:sz w:val="22"/>
          <w:szCs w:val="22"/>
          <w14:ligatures w14:val="standardContextual"/>
        </w:rPr>
      </w:pPr>
      <w:r>
        <w:rPr>
          <w:noProof/>
          <w:color w:val="000000" w:themeColor="text1"/>
        </w:rPr>
        <w:t>L’</w:t>
      </w:r>
      <w:hyperlink r:id="rId22">
        <w:r>
          <w:rPr>
            <w:rStyle w:val="Hyperlink"/>
            <w:noProof/>
          </w:rPr>
          <w:t>initiative «Choisir l’Europe»</w:t>
        </w:r>
      </w:hyperlink>
      <w:r>
        <w:rPr>
          <w:noProof/>
          <w:color w:val="000000" w:themeColor="text1"/>
        </w:rPr>
        <w:t xml:space="preserve"> a été lancée en mai et vise à faire de l’Europe la </w:t>
      </w:r>
      <w:r>
        <w:rPr>
          <w:b/>
          <w:noProof/>
          <w:color w:val="000000" w:themeColor="text1"/>
        </w:rPr>
        <w:t>destination la plus attrayante pour les chercheurs</w:t>
      </w:r>
      <w:r>
        <w:rPr>
          <w:noProof/>
          <w:color w:val="000000" w:themeColor="text1"/>
        </w:rPr>
        <w:t xml:space="preserve">. Dans le même temps, la </w:t>
      </w:r>
      <w:hyperlink r:id="rId23">
        <w:r>
          <w:rPr>
            <w:rStyle w:val="Hyperlink"/>
            <w:noProof/>
          </w:rPr>
          <w:t>stratégie de l’UE en faveur des start-up et des scale-up</w:t>
        </w:r>
      </w:hyperlink>
      <w:r>
        <w:rPr>
          <w:noProof/>
          <w:color w:val="000000" w:themeColor="text1"/>
        </w:rPr>
        <w:t xml:space="preserve"> vise à faire de l’UE la principale plateforme pour les start-up et les scale-up axées sur les technologies. La Commission a également adopté la</w:t>
      </w:r>
      <w:r>
        <w:rPr>
          <w:b/>
          <w:noProof/>
          <w:color w:val="000000" w:themeColor="text1"/>
        </w:rPr>
        <w:t xml:space="preserve"> </w:t>
      </w:r>
      <w:hyperlink r:id="rId24">
        <w:r>
          <w:rPr>
            <w:rStyle w:val="Hyperlink"/>
            <w:noProof/>
          </w:rPr>
          <w:t>stratégie européenne pour les infrastructures de recherche et de technologie</w:t>
        </w:r>
      </w:hyperlink>
      <w:r>
        <w:rPr>
          <w:noProof/>
          <w:color w:val="000000" w:themeColor="text1"/>
        </w:rPr>
        <w:t xml:space="preserve"> afin de promouvoir des infrastructures de classe mondiale, accessibles et alignées sur l’industrie.</w:t>
      </w:r>
      <w:r>
        <w:rPr>
          <w:rFonts w:asciiTheme="minorHAnsi" w:hAnsiTheme="minorHAnsi"/>
          <w:noProof/>
          <w:sz w:val="22"/>
        </w:rPr>
        <w:t xml:space="preserve"> </w:t>
      </w:r>
    </w:p>
    <w:p w14:paraId="140A12E5" w14:textId="66601AAB" w:rsidR="00C653E9" w:rsidRPr="005E08A9" w:rsidRDefault="00C653E9" w:rsidP="00CE4E4E">
      <w:pPr>
        <w:rPr>
          <w:noProof/>
          <w:color w:val="000000" w:themeColor="text1"/>
        </w:rPr>
      </w:pPr>
      <w:r>
        <w:rPr>
          <w:noProof/>
          <w:color w:val="000000" w:themeColor="text1"/>
        </w:rPr>
        <w:t xml:space="preserve">Le </w:t>
      </w:r>
      <w:hyperlink r:id="rId25" w:history="1">
        <w:r>
          <w:rPr>
            <w:rStyle w:val="Hyperlink"/>
            <w:b/>
            <w:noProof/>
          </w:rPr>
          <w:t>Semestre européen 2025</w:t>
        </w:r>
      </w:hyperlink>
      <w:r>
        <w:rPr>
          <w:b/>
          <w:noProof/>
          <w:color w:val="000000" w:themeColor="text1"/>
        </w:rPr>
        <w:t xml:space="preserve"> </w:t>
      </w:r>
      <w:r>
        <w:rPr>
          <w:noProof/>
          <w:color w:val="000000" w:themeColor="text1"/>
        </w:rPr>
        <w:t>s’est concentré sur les priorités de la boussole pour la compétitivité, notamment rattraper le retard en matière d’innovation. Compte tenu de cette priorité, 26 États membres ont reçu une recommandation par pays en matière de R&amp;I.</w:t>
      </w:r>
    </w:p>
    <w:p w14:paraId="5347C89F" w14:textId="4C0E5AC3" w:rsidR="0072438A" w:rsidRDefault="00893CBA" w:rsidP="00472EC1">
      <w:pPr>
        <w:rPr>
          <w:noProof/>
        </w:rPr>
      </w:pPr>
      <w:r>
        <w:rPr>
          <w:noProof/>
          <w:color w:val="000000" w:themeColor="text1"/>
        </w:rPr>
        <w:t xml:space="preserve">Au niveau sectoriel, la Commission a collaboré avec les associations de partenaires concernées par le transport routier et les batteries au moyen d’un protocole d’accord et de ses résultats attendus, afin de mettre en œuvre les activités de R&amp;I découlant du nouveau </w:t>
      </w:r>
      <w:hyperlink r:id="rId26">
        <w:r>
          <w:rPr>
            <w:rStyle w:val="Hyperlink"/>
            <w:noProof/>
          </w:rPr>
          <w:t xml:space="preserve">plan d’action industriel en faveur du </w:t>
        </w:r>
        <w:r>
          <w:rPr>
            <w:rStyle w:val="Hyperlink"/>
            <w:b/>
            <w:noProof/>
          </w:rPr>
          <w:t>secteur automobile</w:t>
        </w:r>
        <w:r>
          <w:rPr>
            <w:rStyle w:val="Hyperlink"/>
            <w:noProof/>
          </w:rPr>
          <w:t xml:space="preserve"> européen</w:t>
        </w:r>
      </w:hyperlink>
      <w:r>
        <w:rPr>
          <w:noProof/>
        </w:rPr>
        <w:t xml:space="preserve">. La R&amp;I a également contribué à la nouvelle proposition d’acte législatif de l’UE sur l’espace, qui vise à favoriser l’innovation et un environnement stable pour les entreprises. Parallèlement, la Commission a publié une communication présentant une vision de l’économie spatiale européenne. </w:t>
      </w:r>
      <w:r>
        <w:rPr>
          <w:noProof/>
          <w:color w:val="000000" w:themeColor="text1"/>
        </w:rPr>
        <w:t xml:space="preserve">La Commission a adopté la </w:t>
      </w:r>
      <w:hyperlink r:id="rId27">
        <w:r>
          <w:rPr>
            <w:rStyle w:val="Hyperlink"/>
            <w:noProof/>
          </w:rPr>
          <w:t xml:space="preserve">vision pour </w:t>
        </w:r>
        <w:r>
          <w:rPr>
            <w:rStyle w:val="Hyperlink"/>
            <w:b/>
            <w:noProof/>
          </w:rPr>
          <w:t>l’agriculture</w:t>
        </w:r>
        <w:r>
          <w:rPr>
            <w:rStyle w:val="Hyperlink"/>
            <w:noProof/>
          </w:rPr>
          <w:t xml:space="preserve"> et l’alimentation</w:t>
        </w:r>
      </w:hyperlink>
      <w:r>
        <w:rPr>
          <w:noProof/>
        </w:rPr>
        <w:t>, qui met l’accent sur la R&amp;I en tant que catalyseur d’un système agroalimentaire attrayant, compétitif et équitable</w:t>
      </w:r>
      <w:r>
        <w:rPr>
          <w:noProof/>
          <w:color w:val="000000" w:themeColor="text1"/>
        </w:rPr>
        <w:t xml:space="preserve">. Le </w:t>
      </w:r>
      <w:hyperlink r:id="rId28" w:history="1">
        <w:r>
          <w:rPr>
            <w:rStyle w:val="Hyperlink"/>
            <w:noProof/>
          </w:rPr>
          <w:t xml:space="preserve">plan d’action pour </w:t>
        </w:r>
        <w:r>
          <w:rPr>
            <w:rStyle w:val="Hyperlink"/>
            <w:b/>
            <w:noProof/>
          </w:rPr>
          <w:t>l’industrie chimique</w:t>
        </w:r>
      </w:hyperlink>
      <w:r>
        <w:rPr>
          <w:noProof/>
          <w:color w:val="D13438"/>
        </w:rPr>
        <w:t xml:space="preserve"> </w:t>
      </w:r>
      <w:r>
        <w:rPr>
          <w:noProof/>
          <w:color w:val="000000" w:themeColor="text1"/>
        </w:rPr>
        <w:t>renforce la compétitivité, la durabilité et la résilience de l’industrie en stimulant l’innovation.</w:t>
      </w:r>
      <w:r>
        <w:rPr>
          <w:noProof/>
        </w:rPr>
        <w:t xml:space="preserve"> La Commission a adopté une nouvelle </w:t>
      </w:r>
      <w:hyperlink r:id="rId29" w:history="1">
        <w:r>
          <w:rPr>
            <w:rStyle w:val="Hyperlink"/>
            <w:noProof/>
          </w:rPr>
          <w:t xml:space="preserve">stratégie de l’UE pour la </w:t>
        </w:r>
        <w:r>
          <w:rPr>
            <w:rStyle w:val="Hyperlink"/>
            <w:b/>
            <w:noProof/>
          </w:rPr>
          <w:t>bioéconomie</w:t>
        </w:r>
      </w:hyperlink>
      <w:r>
        <w:rPr>
          <w:noProof/>
        </w:rPr>
        <w:t xml:space="preserve"> et un </w:t>
      </w:r>
      <w:hyperlink r:id="rId30" w:history="1">
        <w:r>
          <w:rPr>
            <w:rStyle w:val="Hyperlink"/>
            <w:noProof/>
          </w:rPr>
          <w:t xml:space="preserve">acte législatif européen sur les </w:t>
        </w:r>
        <w:r>
          <w:rPr>
            <w:rStyle w:val="Hyperlink"/>
            <w:b/>
            <w:noProof/>
          </w:rPr>
          <w:t>biotechnologies</w:t>
        </w:r>
      </w:hyperlink>
      <w:r>
        <w:rPr>
          <w:noProof/>
        </w:rPr>
        <w:t xml:space="preserve">, comportant des aspects liés aux technologies vertes et à la compétitivité dans le domaine de l’alimentation et de la santé. </w:t>
      </w:r>
    </w:p>
    <w:p w14:paraId="47EB320C" w14:textId="175263D7" w:rsidR="00F579FF" w:rsidRPr="005E08A9" w:rsidRDefault="007B78CB" w:rsidP="00472EC1">
      <w:pPr>
        <w:rPr>
          <w:noProof/>
        </w:rPr>
      </w:pPr>
      <w:r>
        <w:rPr>
          <w:noProof/>
        </w:rPr>
        <w:t xml:space="preserve">En outre, la Commission a adopté la </w:t>
      </w:r>
      <w:hyperlink r:id="rId31" w:history="1">
        <w:r>
          <w:rPr>
            <w:rStyle w:val="Hyperlink"/>
            <w:noProof/>
          </w:rPr>
          <w:t xml:space="preserve">stratégie pour les </w:t>
        </w:r>
        <w:r>
          <w:rPr>
            <w:rStyle w:val="Hyperlink"/>
            <w:b/>
            <w:noProof/>
          </w:rPr>
          <w:t>sciences du vivant</w:t>
        </w:r>
      </w:hyperlink>
      <w:r>
        <w:rPr>
          <w:noProof/>
        </w:rPr>
        <w:t>, faisant de l’UE un pôle mondial d’innovation dans les domaines de la santé, des biotechnologies, des systèmes alimentaires et de la fabrication verte d’ici à 2030.</w:t>
      </w:r>
    </w:p>
    <w:p w14:paraId="48BC4510" w14:textId="06674A60" w:rsidR="00E36FEB" w:rsidRPr="00E36FEB" w:rsidRDefault="00E36FEB" w:rsidP="00472EC1">
      <w:pPr>
        <w:rPr>
          <w:bCs/>
          <w:iCs/>
          <w:noProof/>
        </w:rPr>
      </w:pPr>
      <w:r>
        <w:rPr>
          <w:noProof/>
        </w:rPr>
        <w:t xml:space="preserve">La R&amp;I a également contribué au </w:t>
      </w:r>
      <w:hyperlink r:id="rId32" w:tgtFrame="_blank" w:history="1">
        <w:r>
          <w:rPr>
            <w:rStyle w:val="Hyperlink"/>
            <w:b/>
            <w:noProof/>
          </w:rPr>
          <w:t>nouveau Ba</w:t>
        </w:r>
        <w:bookmarkStart w:id="2" w:name="_Hlt225511933"/>
        <w:bookmarkStart w:id="3" w:name="_Hlt225511934"/>
        <w:r>
          <w:rPr>
            <w:rStyle w:val="Hyperlink"/>
            <w:b/>
            <w:noProof/>
          </w:rPr>
          <w:t>u</w:t>
        </w:r>
        <w:bookmarkEnd w:id="2"/>
        <w:bookmarkEnd w:id="3"/>
        <w:r>
          <w:rPr>
            <w:rStyle w:val="Hyperlink"/>
            <w:b/>
            <w:noProof/>
          </w:rPr>
          <w:t>haus européen</w:t>
        </w:r>
      </w:hyperlink>
      <w:r>
        <w:rPr>
          <w:noProof/>
        </w:rPr>
        <w:t xml:space="preserve"> (NEB), qui soutient des projets de transformation de l’environnement bâti des quartiers.  La </w:t>
      </w:r>
      <w:hyperlink r:id="rId33" w:history="1">
        <w:r>
          <w:rPr>
            <w:rStyle w:val="Hyperlink"/>
            <w:noProof/>
          </w:rPr>
          <w:t>communication sur le nouveau Bauhaus européen</w:t>
        </w:r>
      </w:hyperlink>
      <w:r>
        <w:rPr>
          <w:noProof/>
        </w:rPr>
        <w:t xml:space="preserve"> et la </w:t>
      </w:r>
      <w:hyperlink r:id="rId34" w:history="1">
        <w:r>
          <w:rPr>
            <w:rStyle w:val="Hyperlink"/>
            <w:noProof/>
          </w:rPr>
          <w:t>proposition de recommandation du Conseil relative au nouveau Bauhaus européen</w:t>
        </w:r>
      </w:hyperlink>
      <w:r>
        <w:rPr>
          <w:noProof/>
        </w:rPr>
        <w:t xml:space="preserve"> reconnaissent la contribution des projets relevant du nouveau Bauhaus européen à la R&amp;I. </w:t>
      </w:r>
    </w:p>
    <w:p w14:paraId="61F76B52" w14:textId="77777777" w:rsidR="00502CD2" w:rsidRPr="005E08A9" w:rsidRDefault="00502CD2" w:rsidP="00CE4E4E">
      <w:pPr>
        <w:pStyle w:val="Heading2"/>
        <w:rPr>
          <w:noProof/>
        </w:rPr>
      </w:pPr>
      <w:r>
        <w:rPr>
          <w:noProof/>
        </w:rPr>
        <w:t>Autonomie stratégique, défense et sécurité</w:t>
      </w:r>
    </w:p>
    <w:p w14:paraId="1D50806D" w14:textId="340F72DB" w:rsidR="00434190" w:rsidRPr="005E08A9" w:rsidRDefault="00682F4C" w:rsidP="00CE4E4E">
      <w:pPr>
        <w:rPr>
          <w:noProof/>
        </w:rPr>
      </w:pPr>
      <w:r>
        <w:rPr>
          <w:noProof/>
        </w:rPr>
        <w:t>À l’instar de la compétitivité, la sécurité et la résilience sont des impératifs stratégiques étroitement liés à l’innovation. Les stratégies d’action suivantes, présentées par la Commission en 2025, désignent la recherche, l’innovation et la technologie à double usage comme des aspects essentiels:</w:t>
      </w:r>
    </w:p>
    <w:p w14:paraId="46C80730" w14:textId="4FB611BA" w:rsidR="0085330D" w:rsidRPr="005E08A9" w:rsidRDefault="00FB7662" w:rsidP="00CE4E4E">
      <w:pPr>
        <w:numPr>
          <w:ilvl w:val="0"/>
          <w:numId w:val="60"/>
        </w:numPr>
        <w:rPr>
          <w:noProof/>
        </w:rPr>
      </w:pPr>
      <w:r>
        <w:rPr>
          <w:noProof/>
        </w:rPr>
        <w:t xml:space="preserve">la </w:t>
      </w:r>
      <w:hyperlink r:id="rId35" w:history="1">
        <w:r>
          <w:rPr>
            <w:rStyle w:val="Hyperlink"/>
            <w:noProof/>
          </w:rPr>
          <w:t>stratégie européenne pour une union de la préparation</w:t>
        </w:r>
      </w:hyperlink>
    </w:p>
    <w:p w14:paraId="6AFA052A" w14:textId="6EE9FCA7" w:rsidR="0085330D" w:rsidRPr="005E08A9" w:rsidRDefault="00065C85" w:rsidP="00CE4E4E">
      <w:pPr>
        <w:numPr>
          <w:ilvl w:val="0"/>
          <w:numId w:val="60"/>
        </w:numPr>
        <w:rPr>
          <w:noProof/>
        </w:rPr>
      </w:pPr>
      <w:hyperlink r:id="rId36" w:history="1">
        <w:r w:rsidR="007443B2">
          <w:rPr>
            <w:rStyle w:val="Hyperlink"/>
            <w:noProof/>
          </w:rPr>
          <w:t>Prote</w:t>
        </w:r>
        <w:bookmarkStart w:id="4" w:name="_Hlt220955411"/>
        <w:bookmarkStart w:id="5" w:name="_Hlt220955412"/>
        <w:r w:rsidR="007443B2">
          <w:rPr>
            <w:rStyle w:val="Hyperlink"/>
            <w:noProof/>
          </w:rPr>
          <w:t>c</w:t>
        </w:r>
        <w:bookmarkEnd w:id="4"/>
        <w:bookmarkEnd w:id="5"/>
        <w:r w:rsidR="007443B2">
          <w:rPr>
            <w:rStyle w:val="Hyperlink"/>
            <w:noProof/>
          </w:rPr>
          <w:t>tEU – une stratégie européenne de sécurité intérieure</w:t>
        </w:r>
      </w:hyperlink>
      <w:r w:rsidR="007443B2">
        <w:rPr>
          <w:noProof/>
        </w:rPr>
        <w:t xml:space="preserve"> </w:t>
      </w:r>
    </w:p>
    <w:p w14:paraId="25389407" w14:textId="2FB3FB3A" w:rsidR="0085330D" w:rsidRPr="005E08A9" w:rsidRDefault="00FB7662" w:rsidP="00CE4E4E">
      <w:pPr>
        <w:numPr>
          <w:ilvl w:val="0"/>
          <w:numId w:val="60"/>
        </w:numPr>
        <w:rPr>
          <w:noProof/>
        </w:rPr>
      </w:pPr>
      <w:r>
        <w:rPr>
          <w:noProof/>
        </w:rPr>
        <w:t xml:space="preserve">le </w:t>
      </w:r>
      <w:hyperlink r:id="rId37" w:history="1">
        <w:r>
          <w:rPr>
            <w:rStyle w:val="Hyperlink"/>
            <w:noProof/>
          </w:rPr>
          <w:t>livre blanc sur la préparation de la défense de l’UE à l’horizon 2030</w:t>
        </w:r>
      </w:hyperlink>
      <w:r>
        <w:rPr>
          <w:noProof/>
        </w:rPr>
        <w:t xml:space="preserve">, suivi de la </w:t>
      </w:r>
      <w:hyperlink r:id="rId38" w:history="1">
        <w:r>
          <w:rPr>
            <w:rStyle w:val="Hyperlink"/>
            <w:noProof/>
          </w:rPr>
          <w:t>feuille de route pour la préparation de la défense à l’horizon 2030</w:t>
        </w:r>
      </w:hyperlink>
    </w:p>
    <w:p w14:paraId="1F7FE80C" w14:textId="3EBF8015" w:rsidR="007465D3" w:rsidRPr="005E08A9" w:rsidRDefault="00B2084D" w:rsidP="00CE4E4E">
      <w:pPr>
        <w:numPr>
          <w:ilvl w:val="0"/>
          <w:numId w:val="60"/>
        </w:numPr>
        <w:rPr>
          <w:noProof/>
        </w:rPr>
      </w:pPr>
      <w:r>
        <w:rPr>
          <w:noProof/>
        </w:rPr>
        <w:t xml:space="preserve">la </w:t>
      </w:r>
      <w:hyperlink r:id="rId39" w:history="1">
        <w:r>
          <w:rPr>
            <w:rStyle w:val="Hyperlink"/>
            <w:noProof/>
          </w:rPr>
          <w:t>Feuille de route pour la transformation de l’industrie de la défense de l’UE</w:t>
        </w:r>
      </w:hyperlink>
      <w:r>
        <w:rPr>
          <w:noProof/>
        </w:rPr>
        <w:t xml:space="preserve"> </w:t>
      </w:r>
    </w:p>
    <w:p w14:paraId="76F63DF9" w14:textId="0E819B1E" w:rsidR="00F7057B" w:rsidRPr="005E08A9" w:rsidRDefault="00FB7662" w:rsidP="007465D3">
      <w:pPr>
        <w:rPr>
          <w:noProof/>
        </w:rPr>
      </w:pPr>
      <w:r>
        <w:rPr>
          <w:noProof/>
        </w:rPr>
        <w:t>Ces stratégies soulignent l’importance de tirer parti de l’écosystème plus large de la recherche civile et de l’innovation deep tech en Europe pour la préparation de la défense.</w:t>
      </w:r>
    </w:p>
    <w:p w14:paraId="0FDA648E" w14:textId="297DF724" w:rsidR="4BE69B0E" w:rsidRPr="005E08A9" w:rsidRDefault="00D02439" w:rsidP="00CE4E4E">
      <w:pPr>
        <w:rPr>
          <w:noProof/>
        </w:rPr>
      </w:pPr>
      <w:r>
        <w:rPr>
          <w:noProof/>
        </w:rPr>
        <w:t xml:space="preserve">Avec le </w:t>
      </w:r>
      <w:hyperlink r:id="rId40">
        <w:r>
          <w:rPr>
            <w:rStyle w:val="Hyperlink"/>
            <w:noProof/>
          </w:rPr>
          <w:t>mini-omnibus dans le domaine de la défense</w:t>
        </w:r>
      </w:hyperlink>
      <w:r>
        <w:rPr>
          <w:noProof/>
        </w:rPr>
        <w:t xml:space="preserve">, les colégislateurs sont provisoirement convenus d’étendre le champ d’application de la </w:t>
      </w:r>
      <w:hyperlink r:id="rId41">
        <w:r>
          <w:rPr>
            <w:rStyle w:val="Hyperlink"/>
            <w:noProof/>
          </w:rPr>
          <w:t>plateforme «Technologies stratégiques pour l’Europe»</w:t>
        </w:r>
      </w:hyperlink>
      <w:r>
        <w:rPr>
          <w:noProof/>
        </w:rPr>
        <w:t xml:space="preserve"> (STEP) afin de couvrir les technologies de défense et de permettre à </w:t>
      </w:r>
      <w:hyperlink r:id="rId42">
        <w:r>
          <w:rPr>
            <w:rStyle w:val="Hyperlink"/>
            <w:noProof/>
          </w:rPr>
          <w:t>l’Accélérateur du CEI</w:t>
        </w:r>
      </w:hyperlink>
      <w:r>
        <w:rPr>
          <w:noProof/>
        </w:rPr>
        <w:t xml:space="preserve"> de soutenir les innovations à double usage et dans le domaine de la défense. L’examen à mi-parcours de la politique de cohésion de 2025 a renforcé le soutien aux investissements STEP et créé de nouvelles possibilités d’intégrer les priorités émergentes en matière de R&amp;I dans les programmes de cohésion. </w:t>
      </w:r>
    </w:p>
    <w:p w14:paraId="7DCDA409" w14:textId="08EBCA62" w:rsidR="0094228C" w:rsidRPr="005E08A9" w:rsidRDefault="00502CD2" w:rsidP="00CE4E4E">
      <w:pPr>
        <w:pStyle w:val="Heading2"/>
        <w:rPr>
          <w:noProof/>
        </w:rPr>
      </w:pPr>
      <w:r>
        <w:rPr>
          <w:noProof/>
        </w:rPr>
        <w:t>Transition écologique</w:t>
      </w:r>
    </w:p>
    <w:p w14:paraId="3252853A" w14:textId="4EB8F5AF" w:rsidR="00FA77B7" w:rsidRPr="005E08A9" w:rsidRDefault="00FA77B7" w:rsidP="00CE4E4E">
      <w:pPr>
        <w:spacing w:line="259" w:lineRule="auto"/>
        <w:rPr>
          <w:noProof/>
        </w:rPr>
      </w:pPr>
      <w:r>
        <w:rPr>
          <w:noProof/>
        </w:rPr>
        <w:t xml:space="preserve">La Commission a fait progresser la transition écologique de l’UE au moyen d’initiatives coordonnées dans les domaines de l’industrie, de l’environnement et de la recherche afin de faire de la </w:t>
      </w:r>
      <w:r>
        <w:rPr>
          <w:b/>
          <w:noProof/>
        </w:rPr>
        <w:t>décarbonation</w:t>
      </w:r>
      <w:r>
        <w:rPr>
          <w:noProof/>
        </w:rPr>
        <w:t xml:space="preserve"> un moteur de compétitivité. En février, la Commission a lancé le </w:t>
      </w:r>
      <w:hyperlink r:id="rId43">
        <w:r>
          <w:rPr>
            <w:rStyle w:val="Hyperlink"/>
            <w:noProof/>
          </w:rPr>
          <w:t>pacte pour une industrie propre</w:t>
        </w:r>
      </w:hyperlink>
      <w:r>
        <w:rPr>
          <w:noProof/>
        </w:rPr>
        <w:t>, qui définit des mesures en faveur des industries à forte intensité énergétique, des technologies propres et de la circularité. Parallèlement, le Fonds de recherche du charbon et de l’acier a été réformé afin de simplifier et d’accélérer les investissements dans la R&amp;I qui soutiennent la décarbonation des secteurs du charbon et de l’acier.</w:t>
      </w:r>
    </w:p>
    <w:p w14:paraId="444B3010" w14:textId="7ECE4600" w:rsidR="00016CBE" w:rsidRPr="005E08A9" w:rsidRDefault="00183BB9" w:rsidP="00CE4E4E">
      <w:pPr>
        <w:rPr>
          <w:noProof/>
        </w:rPr>
      </w:pPr>
      <w:r>
        <w:rPr>
          <w:b/>
          <w:noProof/>
        </w:rPr>
        <w:t>La biodiversité, l’eau, les océans et la pollution</w:t>
      </w:r>
      <w:r>
        <w:rPr>
          <w:noProof/>
        </w:rPr>
        <w:t xml:space="preserve"> ont été abordés au moyen d’approches intégrées axées sur l’innovation. Un exemple en matière de biodiversité a été la nouvelle </w:t>
      </w:r>
      <w:hyperlink r:id="rId44" w:history="1">
        <w:r>
          <w:rPr>
            <w:rStyle w:val="Hyperlink"/>
            <w:noProof/>
          </w:rPr>
          <w:t>directive sur la surveillance des sols</w:t>
        </w:r>
      </w:hyperlink>
      <w:r>
        <w:rPr>
          <w:noProof/>
        </w:rPr>
        <w:t xml:space="preserve">, qui soutient l’objectif de bonne santé des sols d’ici à 2050. La </w:t>
      </w:r>
      <w:hyperlink r:id="rId45" w:history="1">
        <w:r>
          <w:rPr>
            <w:rStyle w:val="Hyperlink"/>
            <w:noProof/>
          </w:rPr>
          <w:t>stratégie européenne pour la résilience dans le domaine de l’eau</w:t>
        </w:r>
      </w:hyperlink>
      <w:r>
        <w:rPr>
          <w:noProof/>
        </w:rPr>
        <w:t xml:space="preserve"> promeut la sécurité de l’eau grâce à la restauration du cycle de l’eau, à une économie intelligente dans le domaine de l’eau et à l’accès à une eau propre et abordable pour tous. Le </w:t>
      </w:r>
      <w:hyperlink r:id="rId46" w:history="1">
        <w:r>
          <w:rPr>
            <w:rStyle w:val="Hyperlink"/>
            <w:noProof/>
          </w:rPr>
          <w:t>pacte européen pour l’Océan</w:t>
        </w:r>
      </w:hyperlink>
      <w:r>
        <w:rPr>
          <w:noProof/>
        </w:rPr>
        <w:t xml:space="preserve"> donne la priorité à la recherche, aux compétences et à l’innovation dans le domaine des océans. </w:t>
      </w:r>
    </w:p>
    <w:p w14:paraId="4DB47A6E" w14:textId="77777777" w:rsidR="005E2AE4" w:rsidRDefault="00016CBE" w:rsidP="00CE4E4E">
      <w:pPr>
        <w:rPr>
          <w:noProof/>
        </w:rPr>
      </w:pPr>
      <w:r>
        <w:rPr>
          <w:noProof/>
        </w:rPr>
        <w:t xml:space="preserve">Les politiques en matière de </w:t>
      </w:r>
      <w:r>
        <w:rPr>
          <w:b/>
          <w:noProof/>
        </w:rPr>
        <w:t>climat et d’énergie</w:t>
      </w:r>
      <w:r>
        <w:rPr>
          <w:noProof/>
        </w:rPr>
        <w:t xml:space="preserve"> ont continué de dépendre fortement de la science et de l’innovation. Parmi les nouvelles initiatives prises en 2025 figure la publication d’un </w:t>
      </w:r>
      <w:hyperlink r:id="rId47" w:history="1">
        <w:r>
          <w:rPr>
            <w:rStyle w:val="Hyperlink"/>
            <w:noProof/>
          </w:rPr>
          <w:t>programme stratégique de R&amp;I sur la santé et le changement climatique</w:t>
        </w:r>
      </w:hyperlink>
      <w:r>
        <w:rPr>
          <w:noProof/>
        </w:rPr>
        <w:t>.</w:t>
      </w:r>
      <w:r>
        <w:rPr>
          <w:rFonts w:ascii="Aptos" w:hAnsi="Aptos"/>
          <w:noProof/>
          <w:sz w:val="22"/>
        </w:rPr>
        <w:t xml:space="preserve"> </w:t>
      </w:r>
      <w:r>
        <w:rPr>
          <w:noProof/>
        </w:rPr>
        <w:t xml:space="preserve">Dans le domaine de l’énergie, le </w:t>
      </w:r>
      <w:hyperlink r:id="rId48" w:history="1">
        <w:r>
          <w:rPr>
            <w:rStyle w:val="Hyperlink"/>
            <w:noProof/>
          </w:rPr>
          <w:t>plan d’action pour une énergie abordable</w:t>
        </w:r>
      </w:hyperlink>
      <w:r>
        <w:rPr>
          <w:noProof/>
        </w:rPr>
        <w:t xml:space="preserve">, le </w:t>
      </w:r>
      <w:hyperlink r:id="rId49" w:history="1">
        <w:r>
          <w:rPr>
            <w:rStyle w:val="Hyperlink"/>
            <w:noProof/>
          </w:rPr>
          <w:t>rapport de 2025 sur l’état d’avancement de la compétitivité des technologies énergétiques propres</w:t>
        </w:r>
      </w:hyperlink>
      <w:r>
        <w:rPr>
          <w:noProof/>
        </w:rPr>
        <w:t xml:space="preserve">, la </w:t>
      </w:r>
      <w:hyperlink r:id="rId50" w:history="1">
        <w:r>
          <w:rPr>
            <w:rStyle w:val="Hyperlink"/>
            <w:noProof/>
          </w:rPr>
          <w:t>communication sur les technologies innovantes liées aux énergies renouvelables</w:t>
        </w:r>
      </w:hyperlink>
      <w:r>
        <w:rPr>
          <w:noProof/>
        </w:rPr>
        <w:t xml:space="preserve"> et le </w:t>
      </w:r>
      <w:hyperlink r:id="rId51" w:history="1">
        <w:r>
          <w:rPr>
            <w:rStyle w:val="Hyperlink"/>
            <w:noProof/>
          </w:rPr>
          <w:t>train de mesures sur les réseaux européens</w:t>
        </w:r>
      </w:hyperlink>
      <w:r>
        <w:rPr>
          <w:noProof/>
        </w:rPr>
        <w:t xml:space="preserve"> ont tous renforcé le rôle de l’innovation dans l’accélération du déploiement rentable des énergies propres.</w:t>
      </w:r>
    </w:p>
    <w:p w14:paraId="25A5655E" w14:textId="73220B71" w:rsidR="0094228C" w:rsidRPr="005E08A9" w:rsidRDefault="0094228C" w:rsidP="00CE4E4E">
      <w:pPr>
        <w:pStyle w:val="Heading2"/>
        <w:rPr>
          <w:noProof/>
        </w:rPr>
      </w:pPr>
      <w:r>
        <w:rPr>
          <w:noProof/>
        </w:rPr>
        <w:t>IA et transition numérique</w:t>
      </w:r>
    </w:p>
    <w:p w14:paraId="5D88C644" w14:textId="1F57AD15" w:rsidR="009F292C" w:rsidRPr="00A4763C" w:rsidRDefault="009F292C" w:rsidP="00CE4E4E">
      <w:pPr>
        <w:rPr>
          <w:noProof/>
        </w:rPr>
      </w:pPr>
      <w:r>
        <w:rPr>
          <w:noProof/>
        </w:rPr>
        <w:t xml:space="preserve">En octobre, la Commission a adopté sa </w:t>
      </w:r>
      <w:hyperlink r:id="rId52" w:anchor="resource-for-ai-science-in-europe-raise" w:history="1">
        <w:r>
          <w:rPr>
            <w:rStyle w:val="Hyperlink"/>
            <w:b/>
            <w:noProof/>
          </w:rPr>
          <w:t>stratégie pour l’IA dans la science</w:t>
        </w:r>
      </w:hyperlink>
      <w:r>
        <w:rPr>
          <w:noProof/>
        </w:rPr>
        <w:t xml:space="preserve">. L’un des projets phares est la création de l’institut virtuel «Resource for AI Science in Europe» (RAISE), qui mettra en commun et harmonisera les talents et l’excellence scientifiques européens, la puissance de calcul, les données scientifiques et le financement de la recherche. </w:t>
      </w:r>
    </w:p>
    <w:p w14:paraId="16C0D54B" w14:textId="23CAA9FB" w:rsidR="009362B3" w:rsidRPr="005E08A9" w:rsidRDefault="003813D3" w:rsidP="00CE4E4E">
      <w:pPr>
        <w:rPr>
          <w:noProof/>
          <w:color w:val="000000" w:themeColor="text1"/>
        </w:rPr>
      </w:pPr>
      <w:r>
        <w:rPr>
          <w:noProof/>
          <w:color w:val="000000" w:themeColor="text1"/>
        </w:rPr>
        <w:t xml:space="preserve">Les développements suivants dans le domaine des technologies numériques ont également guidé les travaux sur la R&amp;I. </w:t>
      </w:r>
    </w:p>
    <w:p w14:paraId="12426A65" w14:textId="5F728C87" w:rsidR="009B29A4" w:rsidRPr="005E08A9" w:rsidRDefault="00DA04EB" w:rsidP="00CE4E4E">
      <w:pPr>
        <w:numPr>
          <w:ilvl w:val="0"/>
          <w:numId w:val="67"/>
        </w:numPr>
        <w:rPr>
          <w:rFonts w:ascii="Times New Roman_MSFontService" w:eastAsia="Times New Roman_MSFontService" w:hAnsi="Times New Roman_MSFontService" w:cs="Times New Roman_MSFontService"/>
          <w:noProof/>
          <w:color w:val="000000" w:themeColor="text1"/>
        </w:rPr>
      </w:pPr>
      <w:r>
        <w:rPr>
          <w:noProof/>
          <w:color w:val="000000" w:themeColor="text1"/>
        </w:rPr>
        <w:t>En ce qui concerne l’</w:t>
      </w:r>
      <w:r>
        <w:rPr>
          <w:b/>
          <w:noProof/>
          <w:color w:val="000000" w:themeColor="text1"/>
        </w:rPr>
        <w:t>IA</w:t>
      </w:r>
      <w:r>
        <w:rPr>
          <w:noProof/>
          <w:color w:val="000000" w:themeColor="text1"/>
        </w:rPr>
        <w:t>, passant de la</w:t>
      </w:r>
      <w:r>
        <w:rPr>
          <w:rFonts w:ascii="Times New Roman_MSFontService" w:hAnsi="Times New Roman_MSFontService"/>
          <w:noProof/>
          <w:color w:val="000000" w:themeColor="text1"/>
        </w:rPr>
        <w:t xml:space="preserve"> réglementation à la mise en œuvre, la Commission a adopté le </w:t>
      </w:r>
      <w:hyperlink r:id="rId53" w:history="1">
        <w:r>
          <w:rPr>
            <w:rStyle w:val="Hyperlink"/>
            <w:rFonts w:ascii="Times New Roman_MSFontService" w:hAnsi="Times New Roman_MSFontService"/>
            <w:noProof/>
          </w:rPr>
          <w:t>plan d’action pour un continent de l’IA</w:t>
        </w:r>
      </w:hyperlink>
      <w:r>
        <w:rPr>
          <w:rFonts w:ascii="Times New Roman_MSFontService" w:hAnsi="Times New Roman_MSFontService"/>
          <w:noProof/>
          <w:color w:val="000000" w:themeColor="text1"/>
        </w:rPr>
        <w:t xml:space="preserve"> et la </w:t>
      </w:r>
      <w:hyperlink r:id="rId54" w:history="1">
        <w:r>
          <w:rPr>
            <w:rStyle w:val="Hyperlink"/>
            <w:rFonts w:ascii="Times New Roman_MSFontService" w:hAnsi="Times New Roman_MSFontService"/>
            <w:noProof/>
          </w:rPr>
          <w:t>stratégie pour l’application de l’IA</w:t>
        </w:r>
      </w:hyperlink>
      <w:r>
        <w:rPr>
          <w:rFonts w:ascii="Times New Roman_MSFontService" w:hAnsi="Times New Roman_MSFontService"/>
          <w:noProof/>
          <w:color w:val="000000" w:themeColor="text1"/>
        </w:rPr>
        <w:t>. À la suite de l’annonce d’</w:t>
      </w:r>
      <w:hyperlink r:id="rId55" w:history="1">
        <w:r>
          <w:rPr>
            <w:rStyle w:val="Hyperlink"/>
            <w:rFonts w:ascii="Times New Roman_MSFontService" w:hAnsi="Times New Roman_MSFontService"/>
            <w:noProof/>
          </w:rPr>
          <w:t>InvestAI</w:t>
        </w:r>
      </w:hyperlink>
      <w:r>
        <w:rPr>
          <w:rFonts w:ascii="Times New Roman_MSFontService" w:hAnsi="Times New Roman_MSFontService"/>
          <w:noProof/>
          <w:color w:val="000000" w:themeColor="text1"/>
        </w:rPr>
        <w:t xml:space="preserve">, l’UE </w:t>
      </w:r>
      <w:hyperlink r:id="rId56" w:history="1">
        <w:r>
          <w:rPr>
            <w:rStyle w:val="Hyperlink"/>
            <w:rFonts w:ascii="Times New Roman_MSFontService" w:hAnsi="Times New Roman_MSFontService"/>
            <w:noProof/>
          </w:rPr>
          <w:t>a élargi le réseau de fabriques d’IA</w:t>
        </w:r>
      </w:hyperlink>
      <w:r>
        <w:rPr>
          <w:rFonts w:ascii="Times New Roman_MSFontService" w:hAnsi="Times New Roman_MSFontService"/>
          <w:noProof/>
          <w:color w:val="000000" w:themeColor="text1"/>
        </w:rPr>
        <w:t xml:space="preserve">, renforçant ainsi son ambition de «continent de l’IA» et ouvrant la voie à de futures gigafabriques d’IA. </w:t>
      </w:r>
    </w:p>
    <w:p w14:paraId="117D07ED" w14:textId="55967E5A" w:rsidR="009B29A4" w:rsidRPr="005E08A9" w:rsidRDefault="59EA4893" w:rsidP="00CE4E4E">
      <w:pPr>
        <w:numPr>
          <w:ilvl w:val="0"/>
          <w:numId w:val="67"/>
        </w:numPr>
        <w:rPr>
          <w:rFonts w:ascii="Times New Roman_MSFontService" w:eastAsia="Times New Roman_MSFontService" w:hAnsi="Times New Roman_MSFontService" w:cs="Times New Roman_MSFontService"/>
          <w:noProof/>
          <w:color w:val="000000" w:themeColor="text1"/>
        </w:rPr>
      </w:pPr>
      <w:r>
        <w:rPr>
          <w:noProof/>
          <w:color w:val="000000" w:themeColor="text1"/>
        </w:rPr>
        <w:t xml:space="preserve">En ce qui concerne la </w:t>
      </w:r>
      <w:r>
        <w:rPr>
          <w:b/>
          <w:noProof/>
          <w:color w:val="000000" w:themeColor="text1"/>
        </w:rPr>
        <w:t>technologie quantique</w:t>
      </w:r>
      <w:r>
        <w:rPr>
          <w:noProof/>
          <w:color w:val="000000" w:themeColor="text1"/>
        </w:rPr>
        <w:t xml:space="preserve">, la Commission a déployé la </w:t>
      </w:r>
      <w:hyperlink r:id="rId57" w:history="1">
        <w:r>
          <w:rPr>
            <w:rStyle w:val="Hyperlink"/>
            <w:noProof/>
          </w:rPr>
          <w:t>stratégie pour une Europe quantique</w:t>
        </w:r>
      </w:hyperlink>
      <w:r>
        <w:rPr>
          <w:noProof/>
          <w:color w:val="000000" w:themeColor="text1"/>
        </w:rPr>
        <w:t>, qui vise à faire de l’Europe un acteur mondial de premier plan dans ce domaine d’ici à 2030.</w:t>
      </w:r>
      <w:r>
        <w:rPr>
          <w:noProof/>
        </w:rPr>
        <w:t xml:space="preserve"> </w:t>
      </w:r>
    </w:p>
    <w:p w14:paraId="7B5E70F8" w14:textId="0C1FD764" w:rsidR="59EA4893" w:rsidRPr="00A4763C" w:rsidRDefault="002874FE" w:rsidP="00CE4E4E">
      <w:pPr>
        <w:numPr>
          <w:ilvl w:val="0"/>
          <w:numId w:val="67"/>
        </w:numPr>
        <w:rPr>
          <w:rFonts w:ascii="Times New Roman_MSFontService" w:eastAsia="Times New Roman_MSFontService" w:hAnsi="Times New Roman_MSFontService" w:cs="Times New Roman_MSFontService"/>
          <w:noProof/>
          <w:color w:val="000000" w:themeColor="text1"/>
        </w:rPr>
      </w:pPr>
      <w:r>
        <w:rPr>
          <w:noProof/>
        </w:rPr>
        <w:t xml:space="preserve">Le </w:t>
      </w:r>
      <w:r>
        <w:rPr>
          <w:b/>
          <w:noProof/>
        </w:rPr>
        <w:t>nuage collaboratif au service du patrimoine culturel</w:t>
      </w:r>
      <w:r>
        <w:rPr>
          <w:noProof/>
        </w:rPr>
        <w:t xml:space="preserve"> a été élargi et associe désormais 187 organisations partenaires couvrant tous les États membres et les pays associés à Horizon Europe.</w:t>
      </w:r>
    </w:p>
    <w:p w14:paraId="10BCAC8A" w14:textId="4A60752C" w:rsidR="00DE2D01" w:rsidRPr="005E7B29" w:rsidRDefault="00DE2D01" w:rsidP="00DE2D01">
      <w:pPr>
        <w:numPr>
          <w:ilvl w:val="0"/>
          <w:numId w:val="67"/>
        </w:numPr>
        <w:rPr>
          <w:rFonts w:ascii="Times New Roman_MSFontService" w:eastAsia="Times New Roman_MSFontService" w:hAnsi="Times New Roman_MSFontService" w:cs="Times New Roman_MSFontService"/>
          <w:noProof/>
          <w:color w:val="000000" w:themeColor="text1"/>
        </w:rPr>
      </w:pPr>
      <w:r>
        <w:rPr>
          <w:noProof/>
        </w:rPr>
        <w:t xml:space="preserve">Le prototype du </w:t>
      </w:r>
      <w:hyperlink r:id="rId58" w:history="1">
        <w:r>
          <w:rPr>
            <w:rStyle w:val="Hyperlink"/>
            <w:noProof/>
          </w:rPr>
          <w:t>jumeau numérique européen de l’océan</w:t>
        </w:r>
      </w:hyperlink>
      <w:r>
        <w:rPr>
          <w:noProof/>
        </w:rPr>
        <w:t xml:space="preserve"> a été présenté par la présidente von der Leyen lors de la conférence des Nations unies sur l’océan en juin.</w:t>
      </w:r>
    </w:p>
    <w:p w14:paraId="3EEDB1FA" w14:textId="717BE688" w:rsidR="00B02240" w:rsidRPr="005E08A9" w:rsidRDefault="00B02240" w:rsidP="00DE2D01">
      <w:pPr>
        <w:numPr>
          <w:ilvl w:val="0"/>
          <w:numId w:val="67"/>
        </w:numPr>
        <w:rPr>
          <w:rFonts w:ascii="Times New Roman_MSFontService" w:eastAsia="Times New Roman_MSFontService" w:hAnsi="Times New Roman_MSFontService" w:cs="Times New Roman_MSFontService"/>
          <w:noProof/>
          <w:color w:val="000000" w:themeColor="text1"/>
        </w:rPr>
      </w:pPr>
      <w:r>
        <w:rPr>
          <w:noProof/>
        </w:rPr>
        <w:t xml:space="preserve">La </w:t>
      </w:r>
      <w:hyperlink r:id="rId59" w:history="1">
        <w:r>
          <w:rPr>
            <w:rStyle w:val="Hyperlink"/>
            <w:noProof/>
          </w:rPr>
          <w:t>stratégie numérique internationale</w:t>
        </w:r>
      </w:hyperlink>
      <w:r>
        <w:rPr>
          <w:noProof/>
        </w:rPr>
        <w:t xml:space="preserve"> a été adoptée dans le but de stimuler la compétitivité technologique et la capacité d’innovation de l’UE en collaboration avec des partenaires et des alliés.</w:t>
      </w:r>
    </w:p>
    <w:p w14:paraId="1A16BF07" w14:textId="5AA1B369" w:rsidR="00517B47" w:rsidRPr="005E08A9" w:rsidRDefault="00113055" w:rsidP="00CE4E4E">
      <w:pPr>
        <w:pStyle w:val="Heading2"/>
        <w:rPr>
          <w:noProof/>
        </w:rPr>
      </w:pPr>
      <w:r>
        <w:rPr>
          <w:noProof/>
        </w:rPr>
        <w:t>Partenariat avec les États membres</w:t>
      </w:r>
    </w:p>
    <w:p w14:paraId="47771F5D" w14:textId="17BD25A0" w:rsidR="30547438" w:rsidRPr="005E08A9" w:rsidRDefault="30547438" w:rsidP="00CE4E4E">
      <w:pPr>
        <w:rPr>
          <w:noProof/>
          <w:color w:val="000000" w:themeColor="text1"/>
        </w:rPr>
      </w:pPr>
      <w:r>
        <w:rPr>
          <w:noProof/>
          <w:color w:val="000000" w:themeColor="text1"/>
        </w:rPr>
        <w:t xml:space="preserve">En ce qui concerne les mesures de R&amp;I dans le cadre de la </w:t>
      </w:r>
      <w:r>
        <w:rPr>
          <w:b/>
          <w:noProof/>
          <w:color w:val="000000" w:themeColor="text1"/>
        </w:rPr>
        <w:t>facilité pour la reprise et la résilience</w:t>
      </w:r>
      <w:r>
        <w:rPr>
          <w:noProof/>
          <w:color w:val="000000" w:themeColor="text1"/>
        </w:rPr>
        <w:t xml:space="preserve"> (FRR), 351 jalons et cibles liés à la R&amp;I ont été atteints. Selon une </w:t>
      </w:r>
      <w:hyperlink r:id="rId60" w:history="1">
        <w:r>
          <w:rPr>
            <w:rStyle w:val="Hyperlink"/>
            <w:noProof/>
          </w:rPr>
          <w:t>étude consacrée à la R&amp;I dans le cadre de la FRR</w:t>
        </w:r>
      </w:hyperlink>
      <w:r>
        <w:rPr>
          <w:noProof/>
        </w:rPr>
        <w:t>, le modèle de la FRR s’avère efficace pour stimuler les investissements dans la R&amp;I et les réformes transformatrices dans l’ensemble de l’UE</w:t>
      </w:r>
      <w:r>
        <w:rPr>
          <w:noProof/>
          <w:color w:val="000000" w:themeColor="text1"/>
        </w:rPr>
        <w:t xml:space="preserve">. En ce qui concerne les synergies avec la politique de cohésion, des transferts budgétaires du Fonds européen de développement régional vers Horizon Europe sont mis en œuvre à Malte et en Lituanie.  </w:t>
      </w:r>
    </w:p>
    <w:p w14:paraId="220D06A6" w14:textId="659835AD" w:rsidR="30547438" w:rsidRPr="005E08A9" w:rsidRDefault="0053284D" w:rsidP="00CE4E4E">
      <w:pPr>
        <w:rPr>
          <w:noProof/>
          <w:color w:val="000000" w:themeColor="text1"/>
        </w:rPr>
      </w:pPr>
      <w:r>
        <w:rPr>
          <w:noProof/>
          <w:color w:val="000000" w:themeColor="text1"/>
        </w:rPr>
        <w:t xml:space="preserve">Les discussions bilatérales entre la Commission et les États membres ont été approfondies tout au long de l’année grâce à des </w:t>
      </w:r>
      <w:r>
        <w:rPr>
          <w:b/>
          <w:noProof/>
          <w:color w:val="000000" w:themeColor="text1"/>
        </w:rPr>
        <w:t>dialogues renforcés</w:t>
      </w:r>
      <w:r>
        <w:rPr>
          <w:noProof/>
          <w:color w:val="000000" w:themeColor="text1"/>
        </w:rPr>
        <w:t xml:space="preserve"> avec le Danemark, la Bulgarie, le Portugal, la Finlande et l’Espagne. En outre, le </w:t>
      </w:r>
      <w:r>
        <w:rPr>
          <w:b/>
          <w:noProof/>
          <w:color w:val="000000" w:themeColor="text1"/>
        </w:rPr>
        <w:t>mécanisme de soutien aux politiques</w:t>
      </w:r>
      <w:r>
        <w:rPr>
          <w:noProof/>
          <w:color w:val="000000" w:themeColor="text1"/>
        </w:rPr>
        <w:t xml:space="preserve"> a continué d’aider les États membres et les pays associés à réformer leurs systèmes de R&amp;I. Les activités spécifiques à la Bulgarie, à la Tchéquie, à la Finlande et à l’Ukraine ont été menées à bien. Des exercices d’apprentissage mutuel ont été organisés sur les thèmes des carrières dans la recherche, des politiques nationales en matière d’IA dans le domaine de la science, de la réduction de l’écart entre la science et les politiques, et de la participation du public à la R&amp;I, avec un grand nombre de pays concernés. En outre, le </w:t>
      </w:r>
      <w:hyperlink r:id="rId61" w:history="1">
        <w:r>
          <w:rPr>
            <w:rStyle w:val="Hyperlink"/>
            <w:noProof/>
          </w:rPr>
          <w:t>rapport triennal «She Figures»</w:t>
        </w:r>
      </w:hyperlink>
      <w:r>
        <w:rPr>
          <w:noProof/>
          <w:color w:val="000000" w:themeColor="text1"/>
        </w:rPr>
        <w:t xml:space="preserve"> a été publié pour aider les États membres et les parties prenantes à améliorer l’égalité entre les hommes et les femmes au sein de l’espace européen de la recherche.</w:t>
      </w:r>
    </w:p>
    <w:p w14:paraId="025EA450" w14:textId="0FF1CD77" w:rsidR="454F4072" w:rsidRPr="005E08A9" w:rsidRDefault="00860465" w:rsidP="00CE4E4E">
      <w:pPr>
        <w:rPr>
          <w:i/>
          <w:iCs/>
          <w:noProof/>
        </w:rPr>
      </w:pPr>
      <w:r>
        <w:rPr>
          <w:noProof/>
          <w:color w:val="000000" w:themeColor="text1"/>
        </w:rPr>
        <w:t xml:space="preserve">Le nouveau </w:t>
      </w:r>
      <w:hyperlink r:id="rId62" w:history="1">
        <w:r>
          <w:rPr>
            <w:rStyle w:val="Hyperlink"/>
            <w:noProof/>
          </w:rPr>
          <w:t>STIP Compass</w:t>
        </w:r>
      </w:hyperlink>
      <w:r>
        <w:rPr>
          <w:noProof/>
        </w:rPr>
        <w:t xml:space="preserve"> (base de données sur les politiques relatives à la science, la technologie et l’innovation) de la Commission et de l’</w:t>
      </w:r>
      <w:r>
        <w:rPr>
          <w:b/>
          <w:noProof/>
        </w:rPr>
        <w:t>OCDE</w:t>
      </w:r>
      <w:r>
        <w:rPr>
          <w:noProof/>
          <w:color w:val="000000" w:themeColor="text1"/>
        </w:rPr>
        <w:t xml:space="preserve"> a été lancé, regroupant les données sur les initiatives stratégiques et les tendances en matière de R&amp;I au sein d’une plateforme unique. </w:t>
      </w:r>
    </w:p>
    <w:p w14:paraId="75AB35F9" w14:textId="599CA67D" w:rsidR="00517B47" w:rsidRPr="005E08A9" w:rsidRDefault="00502CD2" w:rsidP="00CE4E4E">
      <w:pPr>
        <w:pStyle w:val="Heading2"/>
        <w:rPr>
          <w:noProof/>
        </w:rPr>
      </w:pPr>
      <w:r>
        <w:rPr>
          <w:noProof/>
        </w:rPr>
        <w:t xml:space="preserve">Une Europe mondialisée </w:t>
      </w:r>
    </w:p>
    <w:p w14:paraId="5C006F8D" w14:textId="5EBA9FC0" w:rsidR="008A10A4" w:rsidRPr="005E08A9" w:rsidRDefault="008A10A4" w:rsidP="00CE4E4E">
      <w:pPr>
        <w:pStyle w:val="NormalWeb"/>
        <w:spacing w:before="120" w:beforeAutospacing="0" w:after="120" w:afterAutospacing="0"/>
        <w:jc w:val="both"/>
        <w:rPr>
          <w:noProof/>
        </w:rPr>
      </w:pPr>
      <w:r>
        <w:rPr>
          <w:noProof/>
        </w:rPr>
        <w:t xml:space="preserve">L’UE a continué de soutenir le redressement de </w:t>
      </w:r>
      <w:r>
        <w:rPr>
          <w:b/>
          <w:noProof/>
        </w:rPr>
        <w:t>l’Ukraine</w:t>
      </w:r>
      <w:r>
        <w:rPr>
          <w:noProof/>
        </w:rPr>
        <w:t xml:space="preserve"> en lançant la coalition internationale pour la science, la recherche et l’innovation en Ukraine, conjointement avec l’Ukraine, l’Italie et l’UNESCO.</w:t>
      </w:r>
    </w:p>
    <w:p w14:paraId="465A1500" w14:textId="4E593035" w:rsidR="008A10A4" w:rsidRPr="005E08A9" w:rsidRDefault="0041144F" w:rsidP="00CE4E4E">
      <w:pPr>
        <w:pStyle w:val="NormalWeb"/>
        <w:spacing w:before="120" w:beforeAutospacing="0" w:after="120" w:afterAutospacing="0"/>
        <w:jc w:val="both"/>
        <w:rPr>
          <w:noProof/>
        </w:rPr>
      </w:pPr>
      <w:r>
        <w:rPr>
          <w:noProof/>
        </w:rPr>
        <w:t xml:space="preserve">Les partenariats avec </w:t>
      </w:r>
      <w:r>
        <w:rPr>
          <w:b/>
          <w:noProof/>
        </w:rPr>
        <w:t>l’Afrique</w:t>
      </w:r>
      <w:r>
        <w:rPr>
          <w:noProof/>
        </w:rPr>
        <w:t xml:space="preserve"> et la </w:t>
      </w:r>
      <w:r>
        <w:rPr>
          <w:b/>
          <w:noProof/>
        </w:rPr>
        <w:t>Méditerranée</w:t>
      </w:r>
      <w:r>
        <w:rPr>
          <w:noProof/>
        </w:rPr>
        <w:t xml:space="preserve"> ont également été renforcés, notamment par la négociation d’un accord de coopération scientifique et technologique entre l’UE et le </w:t>
      </w:r>
      <w:r>
        <w:rPr>
          <w:b/>
          <w:noProof/>
        </w:rPr>
        <w:t>Nigeria</w:t>
      </w:r>
      <w:r>
        <w:rPr>
          <w:noProof/>
        </w:rPr>
        <w:t xml:space="preserve"> et le renouvellement des accords PRIMA avec la </w:t>
      </w:r>
      <w:r>
        <w:rPr>
          <w:b/>
          <w:noProof/>
        </w:rPr>
        <w:t>Jordanie</w:t>
      </w:r>
      <w:r>
        <w:rPr>
          <w:noProof/>
        </w:rPr>
        <w:t xml:space="preserve">, le </w:t>
      </w:r>
      <w:r>
        <w:rPr>
          <w:b/>
          <w:noProof/>
        </w:rPr>
        <w:t>Liban</w:t>
      </w:r>
      <w:r>
        <w:rPr>
          <w:noProof/>
        </w:rPr>
        <w:t xml:space="preserve"> et le </w:t>
      </w:r>
      <w:r>
        <w:rPr>
          <w:b/>
          <w:noProof/>
        </w:rPr>
        <w:t>Maroc</w:t>
      </w:r>
      <w:r>
        <w:rPr>
          <w:noProof/>
        </w:rPr>
        <w:t>. La coopération stratégique avec les principaux partenaires mondiaux a été approfondie, notamment par l’intermédiaire du Conseil du commerce et des technologies UE-</w:t>
      </w:r>
      <w:r>
        <w:rPr>
          <w:b/>
          <w:noProof/>
        </w:rPr>
        <w:t>Inde</w:t>
      </w:r>
      <w:r>
        <w:rPr>
          <w:noProof/>
        </w:rPr>
        <w:t xml:space="preserve">. La coopération avec </w:t>
      </w:r>
      <w:r>
        <w:rPr>
          <w:b/>
          <w:noProof/>
        </w:rPr>
        <w:t>l’Amérique latine et les Caraïbes</w:t>
      </w:r>
      <w:r>
        <w:rPr>
          <w:noProof/>
        </w:rPr>
        <w:t xml:space="preserve"> a pris de l’ampleur avec la première réunion ministérielle UE-CELAC sur la R&amp;I.</w:t>
      </w:r>
    </w:p>
    <w:p w14:paraId="0807D723" w14:textId="78A03853" w:rsidR="00A92E41" w:rsidRPr="005E08A9" w:rsidRDefault="00D63CCA" w:rsidP="00CE4E4E">
      <w:pPr>
        <w:rPr>
          <w:noProof/>
        </w:rPr>
      </w:pPr>
      <w:r>
        <w:rPr>
          <w:noProof/>
        </w:rPr>
        <w:t xml:space="preserve">Alors que l’année a débuté avec la reconduction de l’accord de coopération scientifique et technologique entre </w:t>
      </w:r>
      <w:r>
        <w:rPr>
          <w:b/>
          <w:noProof/>
        </w:rPr>
        <w:t>l’UE et les États-Unis</w:t>
      </w:r>
      <w:r>
        <w:rPr>
          <w:noProof/>
        </w:rPr>
        <w:t xml:space="preserve">, les changements de politique qui ont suivi aux États-Unis ont affecté des domaines clés tels que l’action pour le climat. Dans ce contexte, l’UE a maintenu un dialogue ouvert et renforcé les initiatives multilatérales, en particulier en ce qui concerne l’observation du climat et des océans. </w:t>
      </w:r>
    </w:p>
    <w:p w14:paraId="51AF53BD" w14:textId="47268B60" w:rsidR="0043634A" w:rsidRDefault="00CF32A5" w:rsidP="00A4763C">
      <w:pPr>
        <w:pStyle w:val="NormalWeb"/>
        <w:spacing w:before="120" w:beforeAutospacing="0" w:after="120" w:afterAutospacing="0"/>
        <w:jc w:val="both"/>
        <w:rPr>
          <w:noProof/>
        </w:rPr>
      </w:pPr>
      <w:r>
        <w:rPr>
          <w:noProof/>
        </w:rPr>
        <w:t xml:space="preserve">Cet engagement en faveur du </w:t>
      </w:r>
      <w:r>
        <w:rPr>
          <w:b/>
          <w:noProof/>
        </w:rPr>
        <w:t>multilatéralisme</w:t>
      </w:r>
      <w:r>
        <w:rPr>
          <w:noProof/>
        </w:rPr>
        <w:t xml:space="preserve"> s’est traduit par l’adoption du paquet Tshwane du G20, qui promeut l’innovation ouverte, et par le renforcement du rôle de l’UE dans la diplomatie scientifique mondiale. En outre, la Commission a coprésidé le Forum mondial GEO 2025 et présidé </w:t>
      </w:r>
      <w:hyperlink r:id="rId63" w:anchor=":~:text=What%20is%20the%20All-Atlantic%20Ocean%20Research%20and%20Innovation,Atlantic%20to%20enhance%20marine%20research%20and%20innovation%20cooperation." w:history="1">
        <w:r>
          <w:rPr>
            <w:rStyle w:val="Hyperlink"/>
            <w:noProof/>
          </w:rPr>
          <w:t>l’Alliance transatlantique pour la recherche et l’innovation océaniques.</w:t>
        </w:r>
      </w:hyperlink>
      <w:r>
        <w:rPr>
          <w:noProof/>
        </w:rPr>
        <w:t xml:space="preserve"> La Commission a organisé le forum de l’Alliance en septembre, au cours duquel le </w:t>
      </w:r>
      <w:hyperlink r:id="rId64" w:history="1">
        <w:r>
          <w:rPr>
            <w:rStyle w:val="Hyperlink"/>
            <w:noProof/>
          </w:rPr>
          <w:t>réseau panatlantique de sites phares (</w:t>
        </w:r>
        <w:r>
          <w:rPr>
            <w:rStyle w:val="Hyperlink"/>
            <w:i/>
            <w:iCs/>
            <w:noProof/>
          </w:rPr>
          <w:t>Beacon Sites</w:t>
        </w:r>
        <w:r>
          <w:rPr>
            <w:rStyle w:val="Hyperlink"/>
            <w:noProof/>
          </w:rPr>
          <w:t>) de résilience côtière</w:t>
        </w:r>
      </w:hyperlink>
      <w:r>
        <w:rPr>
          <w:noProof/>
        </w:rPr>
        <w:t xml:space="preserve"> et le </w:t>
      </w:r>
      <w:hyperlink r:id="rId65" w:anchor=":~:text=Brussels%2C%2025%20September%202025%20%E2%80%93%20The%20All-Atlantic%20Ocean,empower%20ocean%20professionals%20across%20generations%2C%20cultures%2C%20and%20continents." w:history="1">
        <w:r>
          <w:rPr>
            <w:rStyle w:val="Hyperlink"/>
            <w:noProof/>
          </w:rPr>
          <w:t>programme intergénérationnel bleu</w:t>
        </w:r>
      </w:hyperlink>
      <w:r>
        <w:rPr>
          <w:noProof/>
        </w:rPr>
        <w:t xml:space="preserve"> ont été lancés. Dans le cadre de </w:t>
      </w:r>
      <w:r>
        <w:rPr>
          <w:b/>
          <w:noProof/>
        </w:rPr>
        <w:t>Mission Innovation</w:t>
      </w:r>
      <w:r>
        <w:rPr>
          <w:noProof/>
        </w:rPr>
        <w:t>, l’UE a accéléré la transition vers une énergie propre, en recensant 101 projets de vallée de l’hydrogène dans 38 pays.</w:t>
      </w:r>
    </w:p>
    <w:p w14:paraId="1B4BF6FE" w14:textId="417811F4" w:rsidR="00323869" w:rsidRPr="00A4763C" w:rsidRDefault="00323869" w:rsidP="00A4763C">
      <w:pPr>
        <w:pStyle w:val="NormalWeb"/>
        <w:spacing w:before="120" w:beforeAutospacing="0" w:after="120" w:afterAutospacing="0"/>
        <w:jc w:val="both"/>
        <w:rPr>
          <w:noProof/>
        </w:rPr>
      </w:pPr>
      <w:r>
        <w:rPr>
          <w:noProof/>
        </w:rPr>
        <w:t>Horizon Europe joue un rôle crucial dans le soutien aux domaines prioritaires de la stratégie «</w:t>
      </w:r>
      <w:hyperlink r:id="rId66" w:history="1">
        <w:r>
          <w:rPr>
            <w:rStyle w:val="Hyperlink"/>
            <w:noProof/>
          </w:rPr>
          <w:t>Global Gateway</w:t>
        </w:r>
      </w:hyperlink>
      <w:r>
        <w:rPr>
          <w:noProof/>
        </w:rPr>
        <w:t>».</w:t>
      </w:r>
    </w:p>
    <w:p w14:paraId="444287C5" w14:textId="2CBDB5DF" w:rsidR="003914AE" w:rsidRPr="005E08A9" w:rsidRDefault="003914AE" w:rsidP="00CE4E4E">
      <w:pPr>
        <w:pStyle w:val="Heading2"/>
        <w:rPr>
          <w:noProof/>
        </w:rPr>
      </w:pPr>
      <w:r>
        <w:rPr>
          <w:noProof/>
        </w:rPr>
        <w:t>Actions directes non nucléaires mises en œuvre par le Centre commun de recherche de la Commission (JRC)</w:t>
      </w:r>
    </w:p>
    <w:p w14:paraId="135DE09C" w14:textId="55784953" w:rsidR="00C611D7" w:rsidRPr="005E08A9" w:rsidRDefault="0072438A" w:rsidP="00CE4E4E">
      <w:pPr>
        <w:rPr>
          <w:iCs/>
          <w:noProof/>
        </w:rPr>
      </w:pPr>
      <w:r>
        <w:rPr>
          <w:noProof/>
        </w:rPr>
        <w:t>Le JRC a produit 824 publications évaluées par des pairs et 917 réalisations scientifiques au service des politiques et techniques. Parmi les réalisations marquantes, on peut citer:</w:t>
      </w:r>
    </w:p>
    <w:p w14:paraId="6915DC7B" w14:textId="5E275C6A" w:rsidR="00685644" w:rsidRPr="005E08A9" w:rsidRDefault="003813D3" w:rsidP="00CE4E4E">
      <w:pPr>
        <w:numPr>
          <w:ilvl w:val="0"/>
          <w:numId w:val="59"/>
        </w:numPr>
        <w:rPr>
          <w:iCs/>
          <w:noProof/>
        </w:rPr>
      </w:pPr>
      <w:r>
        <w:rPr>
          <w:noProof/>
        </w:rPr>
        <w:t xml:space="preserve">un </w:t>
      </w:r>
      <w:hyperlink r:id="rId67" w:history="1">
        <w:r>
          <w:rPr>
            <w:rStyle w:val="Hyperlink"/>
            <w:noProof/>
          </w:rPr>
          <w:t>rapport de prospective sur l’</w:t>
        </w:r>
        <w:r>
          <w:rPr>
            <w:rStyle w:val="Hyperlink"/>
            <w:b/>
            <w:noProof/>
          </w:rPr>
          <w:t>IA générative</w:t>
        </w:r>
      </w:hyperlink>
      <w:r>
        <w:rPr>
          <w:noProof/>
        </w:rPr>
        <w:t>, qui fournit une analyse prospective de son potentiel de transformation dans l’Union, y compris son incidence socio-économique sur les soins de santé, l’éducation, l’emploi et bien d’autres domaines;</w:t>
      </w:r>
      <w:r>
        <w:rPr>
          <w:b/>
          <w:noProof/>
        </w:rPr>
        <w:t xml:space="preserve"> </w:t>
      </w:r>
    </w:p>
    <w:p w14:paraId="06B8556C" w14:textId="1352862D" w:rsidR="00685644" w:rsidRPr="005E08A9" w:rsidRDefault="003813D3" w:rsidP="00CE4E4E">
      <w:pPr>
        <w:numPr>
          <w:ilvl w:val="0"/>
          <w:numId w:val="59"/>
        </w:numPr>
        <w:rPr>
          <w:iCs/>
          <w:noProof/>
        </w:rPr>
      </w:pPr>
      <w:r>
        <w:rPr>
          <w:noProof/>
        </w:rPr>
        <w:t>le lancement d’une nouvelle initiative</w:t>
      </w:r>
      <w:r>
        <w:rPr>
          <w:b/>
          <w:noProof/>
        </w:rPr>
        <w:t xml:space="preserve"> «</w:t>
      </w:r>
      <w:hyperlink r:id="rId68" w:history="1">
        <w:r>
          <w:rPr>
            <w:rStyle w:val="Hyperlink"/>
            <w:noProof/>
          </w:rPr>
          <w:t xml:space="preserve">JRC </w:t>
        </w:r>
        <w:r>
          <w:rPr>
            <w:rStyle w:val="Hyperlink"/>
            <w:b/>
            <w:noProof/>
          </w:rPr>
          <w:t>Border Security</w:t>
        </w:r>
        <w:r>
          <w:rPr>
            <w:rStyle w:val="Hyperlink"/>
            <w:noProof/>
          </w:rPr>
          <w:t xml:space="preserve"> Lab</w:t>
        </w:r>
      </w:hyperlink>
      <w:r>
        <w:rPr>
          <w:noProof/>
        </w:rPr>
        <w:t>» (</w:t>
      </w:r>
      <w:r>
        <w:rPr>
          <w:i/>
          <w:iCs/>
          <w:noProof/>
        </w:rPr>
        <w:t>Laboratoire du JRC de sécurité des frontières</w:t>
      </w:r>
      <w:r>
        <w:rPr>
          <w:noProof/>
        </w:rPr>
        <w:t>), un réseau de laboratoires travaillant en étroite collaboration avec les services répressifs de l’UE;</w:t>
      </w:r>
    </w:p>
    <w:p w14:paraId="27FED170" w14:textId="53D5D30D" w:rsidR="00706374" w:rsidRPr="005E08A9" w:rsidRDefault="003813D3" w:rsidP="00CE4E4E">
      <w:pPr>
        <w:numPr>
          <w:ilvl w:val="0"/>
          <w:numId w:val="59"/>
        </w:numPr>
        <w:rPr>
          <w:iCs/>
          <w:noProof/>
        </w:rPr>
      </w:pPr>
      <w:r>
        <w:rPr>
          <w:noProof/>
        </w:rPr>
        <w:t>une nouvelle édition de l’</w:t>
      </w:r>
      <w:hyperlink r:id="rId69" w:history="1">
        <w:r>
          <w:rPr>
            <w:rStyle w:val="Hyperlink"/>
            <w:b/>
            <w:noProof/>
          </w:rPr>
          <w:t>atlas des migrations</w:t>
        </w:r>
      </w:hyperlink>
      <w:r>
        <w:rPr>
          <w:b/>
          <w:noProof/>
        </w:rPr>
        <w:t>,</w:t>
      </w:r>
      <w:r>
        <w:rPr>
          <w:noProof/>
        </w:rPr>
        <w:t xml:space="preserve"> qui offre une vue d’ensemble harmonisée des migrations à l’échelle mondiale; </w:t>
      </w:r>
    </w:p>
    <w:p w14:paraId="3EDDEA24" w14:textId="5FF21855" w:rsidR="00706374" w:rsidRDefault="003813D3" w:rsidP="00CE4E4E">
      <w:pPr>
        <w:numPr>
          <w:ilvl w:val="0"/>
          <w:numId w:val="59"/>
        </w:numPr>
        <w:rPr>
          <w:iCs/>
          <w:noProof/>
        </w:rPr>
      </w:pPr>
      <w:r>
        <w:rPr>
          <w:noProof/>
        </w:rPr>
        <w:t>un rapport scientifique au service des politiques sur</w:t>
      </w:r>
      <w:r>
        <w:rPr>
          <w:b/>
          <w:noProof/>
        </w:rPr>
        <w:t xml:space="preserve"> </w:t>
      </w:r>
      <w:hyperlink r:id="rId70" w:history="1">
        <w:r>
          <w:rPr>
            <w:rStyle w:val="Hyperlink"/>
            <w:noProof/>
          </w:rPr>
          <w:t xml:space="preserve">l’exploitation du potentiel de la transition vers une </w:t>
        </w:r>
        <w:r>
          <w:rPr>
            <w:rStyle w:val="Hyperlink"/>
            <w:b/>
            <w:noProof/>
          </w:rPr>
          <w:t>économie circulaire</w:t>
        </w:r>
        <w:r>
          <w:rPr>
            <w:rStyle w:val="Hyperlink"/>
            <w:noProof/>
          </w:rPr>
          <w:t xml:space="preserve"> dans les industries à forte intensité énergétique</w:t>
        </w:r>
      </w:hyperlink>
      <w:r>
        <w:rPr>
          <w:noProof/>
        </w:rPr>
        <w:t>;</w:t>
      </w:r>
    </w:p>
    <w:p w14:paraId="2BAD89E1" w14:textId="74293592" w:rsidR="0072438A" w:rsidRPr="005E7B29" w:rsidRDefault="0072438A" w:rsidP="0072438A">
      <w:pPr>
        <w:pStyle w:val="ListParagraph"/>
        <w:numPr>
          <w:ilvl w:val="0"/>
          <w:numId w:val="59"/>
        </w:numPr>
        <w:spacing w:before="120" w:after="120" w:line="240" w:lineRule="auto"/>
        <w:ind w:left="714" w:hanging="357"/>
        <w:contextualSpacing w:val="0"/>
        <w:jc w:val="both"/>
        <w:rPr>
          <w:rFonts w:ascii="Times New Roman" w:eastAsia="Times New Roman" w:hAnsi="Times New Roman"/>
          <w:noProof/>
          <w:sz w:val="24"/>
          <w:szCs w:val="24"/>
        </w:rPr>
      </w:pPr>
      <w:r>
        <w:rPr>
          <w:rFonts w:ascii="Times New Roman" w:hAnsi="Times New Roman"/>
          <w:noProof/>
          <w:sz w:val="24"/>
        </w:rPr>
        <w:t xml:space="preserve">le lancement du </w:t>
      </w:r>
      <w:hyperlink r:id="rId71" w:history="1">
        <w:r>
          <w:rPr>
            <w:rStyle w:val="Hyperlink"/>
            <w:rFonts w:ascii="Times New Roman" w:hAnsi="Times New Roman"/>
            <w:b/>
            <w:noProof/>
            <w:sz w:val="24"/>
          </w:rPr>
          <w:t>pôle de lutte contre la précarité en matière de transport</w:t>
        </w:r>
      </w:hyperlink>
      <w:r>
        <w:rPr>
          <w:rFonts w:ascii="Times New Roman" w:hAnsi="Times New Roman"/>
          <w:noProof/>
          <w:sz w:val="24"/>
        </w:rPr>
        <w:t>, qui permet des interventions et un suivi des progrès vers des systèmes de transport de l’UE plus inclusifs;</w:t>
      </w:r>
    </w:p>
    <w:p w14:paraId="6FFA1CC9" w14:textId="659C5742" w:rsidR="0072438A" w:rsidRPr="00FC732D" w:rsidRDefault="00065C85" w:rsidP="005E7B29">
      <w:pPr>
        <w:pStyle w:val="ListParagraph"/>
        <w:numPr>
          <w:ilvl w:val="0"/>
          <w:numId w:val="59"/>
        </w:numPr>
        <w:spacing w:before="120" w:after="120" w:line="240" w:lineRule="auto"/>
        <w:ind w:left="714" w:hanging="357"/>
        <w:contextualSpacing w:val="0"/>
        <w:jc w:val="both"/>
        <w:rPr>
          <w:noProof/>
        </w:rPr>
      </w:pPr>
      <w:hyperlink r:id="rId72" w:history="1">
        <w:r w:rsidR="0072438A">
          <w:rPr>
            <w:rStyle w:val="Hyperlink"/>
            <w:rFonts w:ascii="Times New Roman" w:hAnsi="Times New Roman"/>
            <w:noProof/>
            <w:sz w:val="24"/>
          </w:rPr>
          <w:t xml:space="preserve">deux nouveaux </w:t>
        </w:r>
        <w:r w:rsidR="0072438A">
          <w:rPr>
            <w:rStyle w:val="Hyperlink"/>
            <w:rFonts w:ascii="Times New Roman" w:hAnsi="Times New Roman"/>
            <w:b/>
            <w:noProof/>
            <w:sz w:val="24"/>
          </w:rPr>
          <w:t>atlas sur les particules fines</w:t>
        </w:r>
        <w:r w:rsidR="0072438A">
          <w:rPr>
            <w:rStyle w:val="Hyperlink"/>
            <w:rFonts w:ascii="Times New Roman" w:hAnsi="Times New Roman"/>
            <w:noProof/>
            <w:sz w:val="24"/>
          </w:rPr>
          <w:t xml:space="preserve"> (PM2.5)</w:t>
        </w:r>
      </w:hyperlink>
      <w:r w:rsidR="0072438A">
        <w:rPr>
          <w:rFonts w:ascii="Times New Roman" w:hAnsi="Times New Roman"/>
          <w:noProof/>
          <w:color w:val="153D63"/>
          <w:sz w:val="24"/>
        </w:rPr>
        <w:t>,</w:t>
      </w:r>
      <w:r w:rsidR="0072438A">
        <w:rPr>
          <w:rFonts w:ascii="Times New Roman" w:hAnsi="Times New Roman"/>
          <w:noProof/>
          <w:sz w:val="24"/>
        </w:rPr>
        <w:t xml:space="preserve"> couvrant pour la première fois les villes des pays concernés par l’élargissement.</w:t>
      </w:r>
    </w:p>
    <w:p w14:paraId="6CF9DC3F" w14:textId="77777777" w:rsidR="00E015E4" w:rsidRPr="005E08A9" w:rsidRDefault="00E015E4" w:rsidP="00CE4E4E">
      <w:pPr>
        <w:rPr>
          <w:noProof/>
          <w:lang w:eastAsia="en-GB"/>
        </w:rPr>
      </w:pPr>
    </w:p>
    <w:p w14:paraId="140BB3E8" w14:textId="4F18D826" w:rsidR="00EE17E3" w:rsidRPr="005E08A9" w:rsidRDefault="00517B47" w:rsidP="00CE4E4E">
      <w:pPr>
        <w:pStyle w:val="Heading1"/>
        <w:spacing w:before="120"/>
        <w:rPr>
          <w:noProof/>
        </w:rPr>
      </w:pPr>
      <w:r>
        <w:rPr>
          <w:noProof/>
        </w:rPr>
        <w:t>Mise en œuvre et suivi d’Horizon Europe et du programme Euratom</w:t>
      </w:r>
    </w:p>
    <w:p w14:paraId="2C15922F" w14:textId="78C0CCCD" w:rsidR="004858CF" w:rsidRPr="005E08A9" w:rsidRDefault="004858CF" w:rsidP="00CE4E4E">
      <w:pPr>
        <w:pStyle w:val="Heading2"/>
        <w:rPr>
          <w:noProof/>
        </w:rPr>
      </w:pPr>
      <w:r>
        <w:rPr>
          <w:noProof/>
        </w:rPr>
        <w:t>Horizon Europe en 2025 – faits marquants et nouveautés</w:t>
      </w:r>
    </w:p>
    <w:p w14:paraId="4A38AC9A" w14:textId="445B89D5" w:rsidR="007E2E91" w:rsidRPr="005E08A9" w:rsidRDefault="00A40D81" w:rsidP="00CE4E4E">
      <w:pPr>
        <w:rPr>
          <w:iCs/>
          <w:noProof/>
        </w:rPr>
      </w:pPr>
      <w:r>
        <w:rPr>
          <w:noProof/>
        </w:rPr>
        <w:t>L’année 2025 a été marquée par des évolutions majeures en matière de programmation pour les trois dernières années d’Horizon Europe 2021-2027. Le programme de travail «principal» d’Horizon Europe pour 2025 a été adopté en mai, suivi du programme de travail «principal» pour la période 2026-2027 en décembre. Les deux programmes de travail ont mis fortement l’accent sur la simplification, cette dernière introduisant également le recours à des appels horizontaux dans des domaines stratégiques.</w:t>
      </w:r>
    </w:p>
    <w:p w14:paraId="70B99CF5" w14:textId="5E59BC9C" w:rsidR="00B272C6" w:rsidRPr="005E08A9" w:rsidRDefault="00B272C6" w:rsidP="00CE4E4E">
      <w:pPr>
        <w:keepNext/>
        <w:rPr>
          <w:b/>
          <w:bCs/>
          <w:noProof/>
        </w:rPr>
      </w:pPr>
      <w:r>
        <w:rPr>
          <w:b/>
          <w:noProof/>
        </w:rPr>
        <w:t xml:space="preserve">Association de pays tiers à Horizon Europe </w:t>
      </w:r>
    </w:p>
    <w:p w14:paraId="28DF7173" w14:textId="06C39888" w:rsidR="29128EC0" w:rsidRPr="005E08A9" w:rsidRDefault="00A40D81" w:rsidP="00CE4E4E">
      <w:pPr>
        <w:rPr>
          <w:i/>
          <w:iCs/>
          <w:noProof/>
        </w:rPr>
      </w:pPr>
      <w:r>
        <w:rPr>
          <w:noProof/>
        </w:rPr>
        <w:t xml:space="preserve">Les </w:t>
      </w:r>
      <w:hyperlink r:id="rId73" w:history="1">
        <w:r>
          <w:rPr>
            <w:rStyle w:val="Hyperlink"/>
            <w:noProof/>
          </w:rPr>
          <w:t>pays associés</w:t>
        </w:r>
      </w:hyperlink>
      <w:r>
        <w:rPr>
          <w:noProof/>
        </w:rPr>
        <w:t xml:space="preserve"> étaient au nombre de 22. Plusieurs accords d’association ont été signés au cours de l’année: alors que la Suisse et l’Égypte ont adhéré à l’ensemble d’Horizon Europe, la République de Corée a adhéré à son pilier II. La contribution opérationnelle cumulée des pays associés en 2025 s’est élevée à 3,3 milliards d’EUR, avec plus de 15 500 participations depuis le début de ce programme-cadre.  </w:t>
      </w:r>
    </w:p>
    <w:p w14:paraId="2D576587" w14:textId="710897E4" w:rsidR="029DFAF1" w:rsidRPr="005E08A9" w:rsidRDefault="029DFAF1" w:rsidP="00CE4E4E">
      <w:pPr>
        <w:pStyle w:val="Heading2"/>
        <w:rPr>
          <w:noProof/>
        </w:rPr>
      </w:pPr>
      <w:r>
        <w:rPr>
          <w:noProof/>
        </w:rPr>
        <w:t>Simplification d’«Horizon Europe»</w:t>
      </w:r>
    </w:p>
    <w:p w14:paraId="4A022AA7" w14:textId="77777777" w:rsidR="003E2FFC" w:rsidRPr="005E08A9" w:rsidRDefault="003E2FFC" w:rsidP="00CE4E4E">
      <w:pPr>
        <w:rPr>
          <w:noProof/>
        </w:rPr>
      </w:pPr>
      <w:r>
        <w:rPr>
          <w:noProof/>
        </w:rPr>
        <w:t xml:space="preserve">L’année 2025 a marqué un tournant dans la simplification du paysage du soutien à la R&amp;I de l’UE. </w:t>
      </w:r>
    </w:p>
    <w:p w14:paraId="502B1804" w14:textId="26A2DABB" w:rsidR="003E2FFC" w:rsidRPr="005E08A9" w:rsidRDefault="003E2FFC" w:rsidP="00CE4E4E">
      <w:pPr>
        <w:spacing w:line="259" w:lineRule="auto"/>
        <w:rPr>
          <w:noProof/>
        </w:rPr>
      </w:pPr>
      <w:r>
        <w:rPr>
          <w:noProof/>
        </w:rPr>
        <w:t>Horizon Europe a mené à bien les réformes pratiques suivantes, qui ont permis de réduire les formalités administratives et d’accélérer les résultats en matière d’innovation.</w:t>
      </w:r>
    </w:p>
    <w:p w14:paraId="20453902" w14:textId="00B86BF7" w:rsidR="003E2FFC" w:rsidRPr="005E08A9" w:rsidRDefault="003813D3" w:rsidP="00CE4E4E">
      <w:pPr>
        <w:pStyle w:val="ListParagraph"/>
        <w:numPr>
          <w:ilvl w:val="0"/>
          <w:numId w:val="65"/>
        </w:numPr>
        <w:spacing w:before="120" w:after="120"/>
        <w:jc w:val="both"/>
        <w:rPr>
          <w:rFonts w:ascii="Times New Roman" w:hAnsi="Times New Roman"/>
          <w:noProof/>
          <w:sz w:val="24"/>
          <w:szCs w:val="24"/>
        </w:rPr>
      </w:pPr>
      <w:r>
        <w:rPr>
          <w:rFonts w:ascii="Times New Roman" w:hAnsi="Times New Roman"/>
          <w:noProof/>
          <w:sz w:val="24"/>
        </w:rPr>
        <w:t xml:space="preserve">Le </w:t>
      </w:r>
      <w:r>
        <w:rPr>
          <w:rFonts w:ascii="Times New Roman" w:hAnsi="Times New Roman"/>
          <w:b/>
          <w:noProof/>
          <w:sz w:val="24"/>
        </w:rPr>
        <w:t xml:space="preserve">financement forfaitaire </w:t>
      </w:r>
      <w:r>
        <w:rPr>
          <w:rFonts w:ascii="Times New Roman" w:hAnsi="Times New Roman"/>
          <w:noProof/>
          <w:sz w:val="24"/>
        </w:rPr>
        <w:t xml:space="preserve">a été progressivement déployé, ce qui a réduit la nécessité de déclarer les coûts réels et facilité la participation, en particulier pour les PME et les nouveaux arrivants. Les principaux objectifs sont de réduire la complexité administrative pour les bénéficiaires ainsi que les erreurs financières. </w:t>
      </w:r>
    </w:p>
    <w:p w14:paraId="1AA8B641" w14:textId="6B6EC423" w:rsidR="003E2FFC" w:rsidRPr="005E08A9" w:rsidRDefault="002116B3" w:rsidP="00CE4E4E">
      <w:pPr>
        <w:pStyle w:val="ListParagraph"/>
        <w:numPr>
          <w:ilvl w:val="0"/>
          <w:numId w:val="65"/>
        </w:numPr>
        <w:spacing w:before="120" w:after="120"/>
        <w:jc w:val="both"/>
        <w:rPr>
          <w:rFonts w:ascii="Times New Roman" w:hAnsi="Times New Roman"/>
          <w:noProof/>
          <w:sz w:val="24"/>
          <w:szCs w:val="24"/>
        </w:rPr>
      </w:pPr>
      <w:r>
        <w:rPr>
          <w:rFonts w:ascii="Times New Roman" w:hAnsi="Times New Roman"/>
          <w:noProof/>
          <w:sz w:val="24"/>
        </w:rPr>
        <w:t xml:space="preserve">Les programmes de travail proposaient un </w:t>
      </w:r>
      <w:r>
        <w:rPr>
          <w:rFonts w:ascii="Times New Roman" w:hAnsi="Times New Roman"/>
          <w:b/>
          <w:noProof/>
          <w:sz w:val="24"/>
        </w:rPr>
        <w:t>nombre réduit de thèmes</w:t>
      </w:r>
      <w:r>
        <w:rPr>
          <w:rFonts w:ascii="Times New Roman" w:hAnsi="Times New Roman"/>
          <w:noProof/>
          <w:sz w:val="24"/>
        </w:rPr>
        <w:t xml:space="preserve">, avec des descriptions plus succinctes, et un texte plus court. Ils ont également introduit des </w:t>
      </w:r>
      <w:r>
        <w:rPr>
          <w:rFonts w:ascii="Times New Roman" w:hAnsi="Times New Roman"/>
          <w:b/>
          <w:noProof/>
          <w:sz w:val="24"/>
        </w:rPr>
        <w:t>thèmes plus ouverts</w:t>
      </w:r>
      <w:r>
        <w:rPr>
          <w:rFonts w:ascii="Times New Roman" w:hAnsi="Times New Roman"/>
          <w:noProof/>
          <w:sz w:val="24"/>
        </w:rPr>
        <w:t>, tout en maintenant l’orientation stratégique.</w:t>
      </w:r>
    </w:p>
    <w:p w14:paraId="55649BC0" w14:textId="731E3963" w:rsidR="003E2FFC" w:rsidRPr="005E08A9" w:rsidRDefault="00E054C0" w:rsidP="00CE4E4E">
      <w:pPr>
        <w:pStyle w:val="ListParagraph"/>
        <w:numPr>
          <w:ilvl w:val="0"/>
          <w:numId w:val="65"/>
        </w:numPr>
        <w:spacing w:before="120" w:after="120"/>
        <w:jc w:val="both"/>
        <w:rPr>
          <w:rFonts w:ascii="Times New Roman" w:hAnsi="Times New Roman"/>
          <w:noProof/>
          <w:sz w:val="24"/>
          <w:szCs w:val="24"/>
        </w:rPr>
      </w:pPr>
      <w:r>
        <w:rPr>
          <w:rFonts w:ascii="Times New Roman" w:hAnsi="Times New Roman"/>
          <w:noProof/>
          <w:sz w:val="24"/>
        </w:rPr>
        <w:t xml:space="preserve">Les </w:t>
      </w:r>
      <w:r>
        <w:rPr>
          <w:rFonts w:ascii="Times New Roman" w:hAnsi="Times New Roman"/>
          <w:b/>
          <w:noProof/>
          <w:sz w:val="24"/>
        </w:rPr>
        <w:t>exigences en matière de proposition</w:t>
      </w:r>
      <w:r>
        <w:rPr>
          <w:rFonts w:ascii="Times New Roman" w:hAnsi="Times New Roman"/>
          <w:noProof/>
          <w:sz w:val="24"/>
        </w:rPr>
        <w:t xml:space="preserve"> ont été rationalisées, avec moins d’informations préalables requises sur plusieurs aspects liés aux politiques, ce qui a permis de raccourcir le formulaire de proposition.</w:t>
      </w:r>
    </w:p>
    <w:p w14:paraId="0FB8012D" w14:textId="273D6E97" w:rsidR="003E2FFC" w:rsidRPr="00654BDC" w:rsidRDefault="003E2FFC" w:rsidP="007B40D5">
      <w:pPr>
        <w:pStyle w:val="ListParagraph"/>
        <w:numPr>
          <w:ilvl w:val="0"/>
          <w:numId w:val="65"/>
        </w:numPr>
        <w:rPr>
          <w:rFonts w:ascii="Times New Roman" w:hAnsi="Times New Roman"/>
          <w:noProof/>
          <w:sz w:val="24"/>
          <w:szCs w:val="24"/>
        </w:rPr>
      </w:pPr>
      <w:r>
        <w:rPr>
          <w:rFonts w:ascii="Times New Roman" w:hAnsi="Times New Roman"/>
          <w:noProof/>
          <w:sz w:val="24"/>
        </w:rPr>
        <w:t>L’</w:t>
      </w:r>
      <w:r>
        <w:rPr>
          <w:rFonts w:ascii="Times New Roman" w:hAnsi="Times New Roman"/>
          <w:b/>
          <w:noProof/>
          <w:sz w:val="24"/>
        </w:rPr>
        <w:t>évaluation en deux étapes</w:t>
      </w:r>
      <w:r>
        <w:rPr>
          <w:rFonts w:ascii="Times New Roman" w:hAnsi="Times New Roman"/>
          <w:noProof/>
          <w:sz w:val="24"/>
        </w:rPr>
        <w:t xml:space="preserve"> a été utilisée pour 29 thèmes, ce qui a permis aux demandeurs de soumettre d’abord des propositions plus courtes et de ne préparer des propositions complètes que s’ils étaient sélectionnés pour la deuxième étape.</w:t>
      </w:r>
      <w:r>
        <w:rPr>
          <w:noProof/>
        </w:rPr>
        <w:t xml:space="preserve"> </w:t>
      </w:r>
      <w:r>
        <w:rPr>
          <w:rFonts w:ascii="Times New Roman" w:hAnsi="Times New Roman"/>
          <w:noProof/>
          <w:sz w:val="24"/>
        </w:rPr>
        <w:t>Bon nombre de ces propositions succinctes sont évaluées à l’aveugle, afin d’éviter tout risque potentiel de partialité.</w:t>
      </w:r>
    </w:p>
    <w:p w14:paraId="2111C875" w14:textId="2DC65581" w:rsidR="003E2FFC" w:rsidRPr="005E08A9" w:rsidRDefault="003E2FFC" w:rsidP="00CE4E4E">
      <w:pPr>
        <w:pStyle w:val="ListParagraph"/>
        <w:numPr>
          <w:ilvl w:val="0"/>
          <w:numId w:val="65"/>
        </w:numPr>
        <w:spacing w:before="120" w:after="120"/>
        <w:jc w:val="both"/>
        <w:rPr>
          <w:rFonts w:ascii="Times New Roman" w:hAnsi="Times New Roman"/>
          <w:noProof/>
          <w:sz w:val="24"/>
          <w:szCs w:val="24"/>
        </w:rPr>
      </w:pPr>
      <w:r>
        <w:rPr>
          <w:rFonts w:ascii="Times New Roman" w:hAnsi="Times New Roman"/>
          <w:noProof/>
          <w:sz w:val="24"/>
        </w:rPr>
        <w:t xml:space="preserve">La </w:t>
      </w:r>
      <w:r>
        <w:rPr>
          <w:rFonts w:ascii="Times New Roman" w:hAnsi="Times New Roman"/>
          <w:b/>
          <w:noProof/>
          <w:sz w:val="24"/>
        </w:rPr>
        <w:t>transparence</w:t>
      </w:r>
      <w:r>
        <w:rPr>
          <w:rFonts w:ascii="Times New Roman" w:hAnsi="Times New Roman"/>
          <w:noProof/>
          <w:sz w:val="24"/>
        </w:rPr>
        <w:t xml:space="preserve"> a été renforcée en rendant les projets de textes des programmes de travail accessibles au public. </w:t>
      </w:r>
    </w:p>
    <w:p w14:paraId="4243F151" w14:textId="3E12856C" w:rsidR="003E2FFC" w:rsidRPr="005E08A9" w:rsidRDefault="003E2FFC" w:rsidP="00CE4E4E">
      <w:pPr>
        <w:rPr>
          <w:noProof/>
        </w:rPr>
      </w:pPr>
      <w:r>
        <w:rPr>
          <w:noProof/>
        </w:rPr>
        <w:t xml:space="preserve">Les </w:t>
      </w:r>
      <w:r>
        <w:rPr>
          <w:b/>
          <w:noProof/>
        </w:rPr>
        <w:t>dialogues sur la mise en œuvre</w:t>
      </w:r>
      <w:r>
        <w:rPr>
          <w:noProof/>
        </w:rPr>
        <w:t xml:space="preserve"> et les </w:t>
      </w:r>
      <w:r>
        <w:rPr>
          <w:b/>
          <w:noProof/>
        </w:rPr>
        <w:t>vérifications sur le terrain</w:t>
      </w:r>
      <w:r>
        <w:rPr>
          <w:noProof/>
        </w:rPr>
        <w:t xml:space="preserve"> ont permis aux start-up, aux chercheurs et aux innovateurs d’obtenir un retour d’information direct sur les goulets d’étranglement dans la soumission des propositions, l’évaluation et la gestion des subventions, contribuant ainsi à recenser les priorités en vue d’une simplification accrue.</w:t>
      </w:r>
    </w:p>
    <w:p w14:paraId="07A30117" w14:textId="32E4C06F" w:rsidR="00CE026A" w:rsidRPr="005E08A9" w:rsidRDefault="00364B5B" w:rsidP="00C52261">
      <w:pPr>
        <w:spacing w:line="259" w:lineRule="auto"/>
        <w:rPr>
          <w:noProof/>
        </w:rPr>
      </w:pPr>
      <w:r>
        <w:rPr>
          <w:noProof/>
        </w:rPr>
        <w:t>La mise en œuvre a été simplifiée grâce à l’</w:t>
      </w:r>
      <w:r>
        <w:rPr>
          <w:b/>
          <w:noProof/>
        </w:rPr>
        <w:t>amélioration des outils numériques</w:t>
      </w:r>
      <w:r>
        <w:rPr>
          <w:noProof/>
        </w:rPr>
        <w:t>. La convivialité et la fonctionnalité du portail de l’UE pour les financements et les appels d’offres (EU Funding &amp; Tenders Portal) ont encore été améliorées et la nouvelle application mobile «EU funding &amp; me» a été introduite, dans le cadre d’un processus fondé sur une enquête menée auprès de 30 000 demandeurs et bénéficiaires.</w:t>
      </w:r>
    </w:p>
    <w:p w14:paraId="627E2B06" w14:textId="1A8BFF66" w:rsidR="00517B47" w:rsidRPr="005E08A9" w:rsidRDefault="0000695E" w:rsidP="00CE4E4E">
      <w:pPr>
        <w:pStyle w:val="Heading2"/>
        <w:rPr>
          <w:noProof/>
        </w:rPr>
      </w:pPr>
      <w:r>
        <w:rPr>
          <w:noProof/>
        </w:rPr>
        <w:t>Données de suivi d’Horizon Europe</w:t>
      </w:r>
    </w:p>
    <w:p w14:paraId="56DB7D19" w14:textId="77777777" w:rsidR="00F96509" w:rsidRPr="005E08A9" w:rsidRDefault="00F96509" w:rsidP="00CE4E4E">
      <w:pPr>
        <w:rPr>
          <w:b/>
          <w:bCs/>
          <w:noProof/>
        </w:rPr>
      </w:pPr>
      <w:r>
        <w:rPr>
          <w:b/>
          <w:noProof/>
        </w:rPr>
        <w:t>Possibilités de financement</w:t>
      </w:r>
    </w:p>
    <w:p w14:paraId="6BA6FB64" w14:textId="790AA251" w:rsidR="00F96509" w:rsidRPr="005E08A9" w:rsidRDefault="00F96509" w:rsidP="41A6BFF9">
      <w:pPr>
        <w:rPr>
          <w:i/>
          <w:iCs/>
          <w:noProof/>
        </w:rPr>
      </w:pPr>
      <w:r>
        <w:rPr>
          <w:i/>
          <w:noProof/>
        </w:rPr>
        <w:t>Source: systèmes de suivi interne de la Commission, 6 janvier 2026</w:t>
      </w:r>
    </w:p>
    <w:p w14:paraId="00070FBC" w14:textId="2F71A8C3" w:rsidR="00F96509" w:rsidRPr="005E08A9" w:rsidRDefault="00F96509" w:rsidP="00CE4E4E">
      <w:pPr>
        <w:rPr>
          <w:noProof/>
        </w:rPr>
      </w:pPr>
      <w:r>
        <w:rPr>
          <w:noProof/>
        </w:rPr>
        <w:t xml:space="preserve">Les 787 appels à propositions lancés au titre des programmes de travail pour la période 2021-2025 couvraient un total de 3 061 thèmes de recherche, pour un budget de 67,9 milliards d’EUR. </w:t>
      </w:r>
    </w:p>
    <w:p w14:paraId="29F3620F" w14:textId="36641849" w:rsidR="00F96509" w:rsidRPr="005E08A9" w:rsidRDefault="00F96509" w:rsidP="00CE4E4E">
      <w:pPr>
        <w:rPr>
          <w:b/>
          <w:bCs/>
          <w:noProof/>
        </w:rPr>
      </w:pPr>
      <w:r>
        <w:rPr>
          <w:b/>
          <w:noProof/>
        </w:rPr>
        <w:t>Propositions de projets et taux de réussite</w:t>
      </w:r>
    </w:p>
    <w:p w14:paraId="7905AD38" w14:textId="6FD6365F" w:rsidR="00F96509" w:rsidRPr="005E08A9" w:rsidRDefault="00F96509" w:rsidP="00CE4E4E">
      <w:pPr>
        <w:rPr>
          <w:i/>
          <w:iCs/>
          <w:noProof/>
        </w:rPr>
      </w:pPr>
      <w:r>
        <w:rPr>
          <w:i/>
          <w:noProof/>
        </w:rPr>
        <w:t>Source: systèmes de suivi interne de la Commission, 5 janvier 2026</w:t>
      </w:r>
    </w:p>
    <w:p w14:paraId="69D327AA" w14:textId="0BA91585" w:rsidR="00F96509" w:rsidRPr="005E08A9" w:rsidRDefault="00F96509" w:rsidP="00CE4E4E">
      <w:pPr>
        <w:rPr>
          <w:noProof/>
        </w:rPr>
      </w:pPr>
      <w:r>
        <w:rPr>
          <w:noProof/>
        </w:rPr>
        <w:t xml:space="preserve">L’intérêt pour le programme est resté fort, </w:t>
      </w:r>
      <w:r>
        <w:rPr>
          <w:b/>
          <w:noProof/>
        </w:rPr>
        <w:t>148 884 propositions éligibles</w:t>
      </w:r>
      <w:r>
        <w:rPr>
          <w:noProof/>
        </w:rPr>
        <w:t xml:space="preserve"> ayant été soumises</w:t>
      </w:r>
      <w:r>
        <w:rPr>
          <w:rStyle w:val="FootnoteReference"/>
          <w:noProof/>
        </w:rPr>
        <w:footnoteReference w:id="2"/>
      </w:r>
      <w:r>
        <w:rPr>
          <w:noProof/>
        </w:rPr>
        <w:t xml:space="preserve"> au cours de la période 2021-2025. Leur qualité globale est restée stable, plus de la moitié des propositions éligibles (57 %) ayant atteint le seuil de note minimale d’évaluation. </w:t>
      </w:r>
    </w:p>
    <w:p w14:paraId="64A59B5E" w14:textId="307F6A98" w:rsidR="00F96509" w:rsidRPr="005E08A9" w:rsidRDefault="00F96509" w:rsidP="00CE4E4E">
      <w:pPr>
        <w:rPr>
          <w:noProof/>
        </w:rPr>
      </w:pPr>
      <w:r>
        <w:rPr>
          <w:noProof/>
        </w:rPr>
        <w:t xml:space="preserve">En janvier 2026, 21 329 propositions avaient été sélectionnées en vue d’un financement, pour une contribution totale estimée à 57,4 milliards d’EUR. Le taux de réussite des propositions est tombé à 14 %, contre 15,3 % en janvier 2025, mais est resté plus élevé que dans le cadre d’Horizon 2020 dans son ensemble (11,9 %). </w:t>
      </w:r>
    </w:p>
    <w:p w14:paraId="40465398" w14:textId="35AD0097" w:rsidR="00F96509" w:rsidRPr="005E08A9" w:rsidRDefault="00F96509" w:rsidP="00CE4E4E">
      <w:pPr>
        <w:ind w:left="-20" w:right="-20"/>
        <w:rPr>
          <w:rFonts w:eastAsiaTheme="minorEastAsia"/>
          <w:noProof/>
        </w:rPr>
      </w:pPr>
      <w:r>
        <w:rPr>
          <w:noProof/>
        </w:rPr>
        <w:t>Environ 70 % des propositions ayant dépassé le seuil de financement n’ont pas été financées. Un financement supplémentaire estimé à 118,5 milliards d’EUR aurait été nécessaire pour financer toutes ces propositions soumises au cours de la période 2021-2025.</w:t>
      </w:r>
    </w:p>
    <w:p w14:paraId="6501BE04" w14:textId="77777777" w:rsidR="00F96509" w:rsidRPr="005E08A9" w:rsidRDefault="00F96509" w:rsidP="00CE4E4E">
      <w:pPr>
        <w:rPr>
          <w:b/>
          <w:bCs/>
          <w:noProof/>
        </w:rPr>
      </w:pPr>
      <w:r>
        <w:rPr>
          <w:b/>
          <w:noProof/>
        </w:rPr>
        <w:t>Projets financés</w:t>
      </w:r>
    </w:p>
    <w:p w14:paraId="0EE38A74" w14:textId="28E50689" w:rsidR="00F96509" w:rsidRPr="005E08A9" w:rsidRDefault="009F4583" w:rsidP="41A6BFF9">
      <w:pPr>
        <w:rPr>
          <w:rFonts w:eastAsiaTheme="minorEastAsia"/>
          <w:noProof/>
        </w:rPr>
      </w:pPr>
      <w:r>
        <w:rPr>
          <w:noProof/>
        </w:rPr>
        <w:t xml:space="preserve">À la fin de 2025, </w:t>
      </w:r>
      <w:r>
        <w:rPr>
          <w:b/>
          <w:noProof/>
        </w:rPr>
        <w:t>52,8 milliards d’EUR</w:t>
      </w:r>
      <w:r>
        <w:rPr>
          <w:noProof/>
        </w:rPr>
        <w:t xml:space="preserve"> avaient été octroyés sous la forme de </w:t>
      </w:r>
      <w:r>
        <w:rPr>
          <w:b/>
          <w:noProof/>
        </w:rPr>
        <w:t>19 456 subventions</w:t>
      </w:r>
      <w:r>
        <w:rPr>
          <w:noProof/>
        </w:rPr>
        <w:t>. Le montant moyen des subventions est resté stable à 2,7 millions d’EUR, soit plus que dans le cadre d’Horizon 2020 (2,3 millions d’EUR</w:t>
      </w:r>
      <w:r>
        <w:rPr>
          <w:rStyle w:val="FootnoteReference"/>
          <w:rFonts w:eastAsiaTheme="minorEastAsia"/>
          <w:noProof/>
        </w:rPr>
        <w:footnoteReference w:id="3"/>
      </w:r>
      <w:r>
        <w:rPr>
          <w:noProof/>
        </w:rPr>
        <w:t xml:space="preserve">), avec une moyenne de six participants par projet. </w:t>
      </w:r>
    </w:p>
    <w:p w14:paraId="4A43464D" w14:textId="13550317" w:rsidR="00F96509" w:rsidRPr="005E08A9" w:rsidRDefault="00F96509" w:rsidP="00CE4E4E">
      <w:pPr>
        <w:rPr>
          <w:noProof/>
        </w:rPr>
      </w:pPr>
      <w:r>
        <w:rPr>
          <w:noProof/>
        </w:rPr>
        <w:t xml:space="preserve">Le Conseil européen de l’innovation (CEI) comprend également un instrument d’investissement en fonds propres, le </w:t>
      </w:r>
      <w:r>
        <w:rPr>
          <w:b/>
          <w:noProof/>
        </w:rPr>
        <w:t>Fonds du CEI</w:t>
      </w:r>
      <w:r>
        <w:rPr>
          <w:noProof/>
        </w:rPr>
        <w:t>, destiné aux start-up et aux scale-up les plus innovantes. Outre les chiffres présentés dans le tableau ci-dessous, le Fonds du CEI a approuvé plus de 2,3 milliards d’EUR d’investissements en fonds propres en faveur des bénéficiaires d’Horizon Europe, dont 931,9 millions d’EUR ont été décaissés à ce jour</w:t>
      </w:r>
      <w:r>
        <w:rPr>
          <w:rStyle w:val="FootnoteReference"/>
          <w:noProof/>
        </w:rPr>
        <w:footnoteReference w:id="4"/>
      </w:r>
      <w:r>
        <w:rPr>
          <w:noProof/>
        </w:rPr>
        <w:t>.</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3"/>
        <w:gridCol w:w="992"/>
        <w:gridCol w:w="850"/>
        <w:gridCol w:w="1134"/>
        <w:gridCol w:w="1134"/>
        <w:gridCol w:w="993"/>
        <w:gridCol w:w="1134"/>
        <w:gridCol w:w="1417"/>
      </w:tblGrid>
      <w:tr w:rsidR="00A91F24" w:rsidRPr="005E08A9" w14:paraId="2861E896" w14:textId="77777777" w:rsidTr="000361D6">
        <w:trPr>
          <w:trHeight w:val="246"/>
          <w:tblHeader/>
        </w:trPr>
        <w:tc>
          <w:tcPr>
            <w:tcW w:w="2553" w:type="dxa"/>
            <w:tcBorders>
              <w:top w:val="single" w:sz="4" w:space="0" w:color="auto"/>
              <w:left w:val="single" w:sz="4" w:space="0" w:color="auto"/>
              <w:bottom w:val="single" w:sz="4" w:space="0" w:color="auto"/>
              <w:right w:val="single" w:sz="4" w:space="0" w:color="auto"/>
            </w:tcBorders>
            <w:shd w:val="clear" w:color="000000" w:fill="4F81BD"/>
            <w:noWrap/>
            <w:vAlign w:val="center"/>
            <w:hideMark/>
          </w:tcPr>
          <w:p w14:paraId="11ECE0BA" w14:textId="77777777" w:rsidR="00F96509" w:rsidRPr="00A22918" w:rsidRDefault="00F96509" w:rsidP="00CE4E4E">
            <w:pPr>
              <w:keepNext/>
              <w:rPr>
                <w:b/>
                <w:bCs/>
                <w:noProof/>
                <w:color w:val="FFFFFF"/>
                <w:sz w:val="16"/>
                <w:szCs w:val="16"/>
              </w:rPr>
            </w:pPr>
            <w:r>
              <w:rPr>
                <w:b/>
                <w:noProof/>
                <w:color w:val="FFFFFF"/>
                <w:sz w:val="16"/>
              </w:rPr>
              <w:t>Partie de programme</w:t>
            </w:r>
          </w:p>
        </w:tc>
        <w:tc>
          <w:tcPr>
            <w:tcW w:w="992" w:type="dxa"/>
            <w:tcBorders>
              <w:top w:val="single" w:sz="4" w:space="0" w:color="auto"/>
              <w:left w:val="single" w:sz="4" w:space="0" w:color="auto"/>
              <w:bottom w:val="single" w:sz="4" w:space="0" w:color="auto"/>
              <w:right w:val="single" w:sz="4" w:space="0" w:color="auto"/>
            </w:tcBorders>
            <w:shd w:val="clear" w:color="000000" w:fill="4F81BD"/>
            <w:noWrap/>
            <w:vAlign w:val="center"/>
            <w:hideMark/>
          </w:tcPr>
          <w:p w14:paraId="4775F080" w14:textId="77777777" w:rsidR="00F96509" w:rsidRPr="00A22918" w:rsidRDefault="00F96509" w:rsidP="00CE4E4E">
            <w:pPr>
              <w:keepNext/>
              <w:rPr>
                <w:b/>
                <w:bCs/>
                <w:noProof/>
                <w:color w:val="FFFFFF"/>
                <w:sz w:val="16"/>
                <w:szCs w:val="16"/>
              </w:rPr>
            </w:pPr>
            <w:r>
              <w:rPr>
                <w:b/>
                <w:noProof/>
                <w:color w:val="FFFFFF"/>
                <w:sz w:val="16"/>
              </w:rPr>
              <w:t>Propositions éligibles</w:t>
            </w:r>
          </w:p>
        </w:tc>
        <w:tc>
          <w:tcPr>
            <w:tcW w:w="850" w:type="dxa"/>
            <w:tcBorders>
              <w:top w:val="single" w:sz="4" w:space="0" w:color="auto"/>
              <w:left w:val="single" w:sz="4" w:space="0" w:color="auto"/>
              <w:bottom w:val="single" w:sz="4" w:space="0" w:color="auto"/>
              <w:right w:val="single" w:sz="4" w:space="0" w:color="auto"/>
            </w:tcBorders>
            <w:shd w:val="clear" w:color="000000" w:fill="4F81BD"/>
            <w:noWrap/>
            <w:vAlign w:val="center"/>
            <w:hideMark/>
          </w:tcPr>
          <w:p w14:paraId="1298296E" w14:textId="1A799390" w:rsidR="00F96509" w:rsidRPr="00A22918" w:rsidRDefault="00BD4295" w:rsidP="00CE4E4E">
            <w:pPr>
              <w:keepNext/>
              <w:rPr>
                <w:b/>
                <w:bCs/>
                <w:noProof/>
                <w:color w:val="FFFFFF"/>
                <w:sz w:val="16"/>
                <w:szCs w:val="16"/>
              </w:rPr>
            </w:pPr>
            <w:r>
              <w:rPr>
                <w:b/>
                <w:noProof/>
                <w:color w:val="FFFFFF"/>
                <w:sz w:val="16"/>
              </w:rPr>
              <w:t>Propositions acceptées</w:t>
            </w:r>
          </w:p>
        </w:tc>
        <w:tc>
          <w:tcPr>
            <w:tcW w:w="1134" w:type="dxa"/>
            <w:tcBorders>
              <w:top w:val="single" w:sz="4" w:space="0" w:color="auto"/>
              <w:left w:val="single" w:sz="4" w:space="0" w:color="auto"/>
              <w:bottom w:val="single" w:sz="4" w:space="0" w:color="auto"/>
              <w:right w:val="single" w:sz="4" w:space="0" w:color="auto"/>
            </w:tcBorders>
            <w:shd w:val="clear" w:color="000000" w:fill="4F81BD"/>
            <w:noWrap/>
            <w:vAlign w:val="center"/>
            <w:hideMark/>
          </w:tcPr>
          <w:p w14:paraId="727A2D03" w14:textId="77777777" w:rsidR="00F96509" w:rsidRPr="00A22918" w:rsidRDefault="00F96509" w:rsidP="00CE4E4E">
            <w:pPr>
              <w:keepNext/>
              <w:rPr>
                <w:b/>
                <w:bCs/>
                <w:noProof/>
                <w:color w:val="FFFFFF"/>
                <w:sz w:val="16"/>
                <w:szCs w:val="16"/>
              </w:rPr>
            </w:pPr>
            <w:r>
              <w:rPr>
                <w:b/>
                <w:noProof/>
                <w:color w:val="FFFFFF"/>
                <w:sz w:val="16"/>
              </w:rPr>
              <w:t>Taux de réussite des propositions (en % des propositions éligibles)</w:t>
            </w:r>
          </w:p>
        </w:tc>
        <w:tc>
          <w:tcPr>
            <w:tcW w:w="1134" w:type="dxa"/>
            <w:tcBorders>
              <w:top w:val="single" w:sz="4" w:space="0" w:color="auto"/>
              <w:left w:val="single" w:sz="4" w:space="0" w:color="auto"/>
              <w:bottom w:val="single" w:sz="4" w:space="0" w:color="auto"/>
              <w:right w:val="single" w:sz="4" w:space="0" w:color="auto"/>
            </w:tcBorders>
            <w:shd w:val="clear" w:color="000000" w:fill="4F81BD"/>
            <w:noWrap/>
            <w:vAlign w:val="center"/>
            <w:hideMark/>
          </w:tcPr>
          <w:p w14:paraId="541DB3F1" w14:textId="77777777" w:rsidR="00F96509" w:rsidRPr="00A22918" w:rsidRDefault="00F96509" w:rsidP="00CE4E4E">
            <w:pPr>
              <w:keepNext/>
              <w:rPr>
                <w:b/>
                <w:bCs/>
                <w:noProof/>
                <w:color w:val="FFFFFF"/>
                <w:sz w:val="16"/>
                <w:szCs w:val="16"/>
              </w:rPr>
            </w:pPr>
            <w:r>
              <w:rPr>
                <w:b/>
                <w:noProof/>
                <w:color w:val="FFFFFF"/>
                <w:sz w:val="16"/>
              </w:rPr>
              <w:t>Proportion de propositions de très bonne qualité (% de propositions éligibles)</w:t>
            </w:r>
          </w:p>
          <w:p w14:paraId="128CF51A" w14:textId="77777777" w:rsidR="00F96509" w:rsidRPr="00A22918" w:rsidRDefault="00F96509" w:rsidP="00CE4E4E">
            <w:pPr>
              <w:keepNext/>
              <w:rPr>
                <w:b/>
                <w:bCs/>
                <w:noProof/>
                <w:color w:val="FFFFF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1F4E79" w:themeFill="accent1" w:themeFillShade="80"/>
          </w:tcPr>
          <w:p w14:paraId="44A3A409" w14:textId="77777777" w:rsidR="00F96509" w:rsidRPr="00A22918" w:rsidRDefault="00F96509" w:rsidP="00CE4E4E">
            <w:pPr>
              <w:keepNext/>
              <w:rPr>
                <w:b/>
                <w:bCs/>
                <w:noProof/>
                <w:color w:val="FFFFFF"/>
                <w:sz w:val="16"/>
                <w:szCs w:val="16"/>
              </w:rPr>
            </w:pPr>
            <w:r>
              <w:rPr>
                <w:b/>
                <w:noProof/>
                <w:color w:val="FFFFFF"/>
                <w:sz w:val="16"/>
              </w:rPr>
              <w:t>Conventions de subvention signées</w:t>
            </w:r>
          </w:p>
        </w:tc>
        <w:tc>
          <w:tcPr>
            <w:tcW w:w="1134" w:type="dxa"/>
            <w:tcBorders>
              <w:top w:val="single" w:sz="4" w:space="0" w:color="auto"/>
              <w:left w:val="single" w:sz="4" w:space="0" w:color="auto"/>
              <w:bottom w:val="single" w:sz="4" w:space="0" w:color="auto"/>
              <w:right w:val="single" w:sz="4" w:space="0" w:color="auto"/>
            </w:tcBorders>
            <w:shd w:val="clear" w:color="auto" w:fill="1F4E79" w:themeFill="accent1" w:themeFillShade="80"/>
          </w:tcPr>
          <w:p w14:paraId="54D8D2F2" w14:textId="52E9B3FB" w:rsidR="00F96509" w:rsidRPr="00A22918" w:rsidRDefault="00F96509" w:rsidP="00CE4E4E">
            <w:pPr>
              <w:keepNext/>
              <w:rPr>
                <w:b/>
                <w:bCs/>
                <w:noProof/>
                <w:color w:val="FFFFFF"/>
                <w:sz w:val="16"/>
                <w:szCs w:val="16"/>
              </w:rPr>
            </w:pPr>
            <w:r>
              <w:rPr>
                <w:b/>
                <w:noProof/>
                <w:color w:val="FFFFFF"/>
                <w:sz w:val="16"/>
              </w:rPr>
              <w:t>Contribution de l’Union aux conventions de subvention signées (en Mio EUR)</w:t>
            </w:r>
          </w:p>
        </w:tc>
        <w:tc>
          <w:tcPr>
            <w:tcW w:w="1417" w:type="dxa"/>
            <w:tcBorders>
              <w:top w:val="single" w:sz="4" w:space="0" w:color="auto"/>
              <w:left w:val="single" w:sz="4" w:space="0" w:color="auto"/>
              <w:bottom w:val="single" w:sz="4" w:space="0" w:color="auto"/>
              <w:right w:val="single" w:sz="4" w:space="0" w:color="auto"/>
            </w:tcBorders>
            <w:shd w:val="clear" w:color="auto" w:fill="1F4E79" w:themeFill="accent1" w:themeFillShade="80"/>
          </w:tcPr>
          <w:p w14:paraId="1D217A6A" w14:textId="6AAA98FF" w:rsidR="00F96509" w:rsidRPr="00A22918" w:rsidRDefault="00F96509" w:rsidP="00CE4E4E">
            <w:pPr>
              <w:keepNext/>
              <w:rPr>
                <w:b/>
                <w:bCs/>
                <w:noProof/>
                <w:color w:val="FFFFFF"/>
                <w:sz w:val="16"/>
                <w:szCs w:val="16"/>
              </w:rPr>
            </w:pPr>
            <w:r>
              <w:rPr>
                <w:b/>
                <w:noProof/>
                <w:color w:val="FFFFFF"/>
                <w:sz w:val="16"/>
              </w:rPr>
              <w:t xml:space="preserve">Montant moyen de la subvention (en Mio EUR) </w:t>
            </w:r>
          </w:p>
        </w:tc>
      </w:tr>
      <w:tr w:rsidR="00456887" w:rsidRPr="005E08A9" w14:paraId="46300CDC" w14:textId="77777777">
        <w:trPr>
          <w:trHeight w:val="246"/>
        </w:trPr>
        <w:tc>
          <w:tcPr>
            <w:tcW w:w="10207" w:type="dxa"/>
            <w:gridSpan w:val="8"/>
            <w:tcBorders>
              <w:top w:val="single" w:sz="4" w:space="0" w:color="auto"/>
              <w:bottom w:val="single" w:sz="4" w:space="0" w:color="auto"/>
              <w:right w:val="single" w:sz="4" w:space="0" w:color="auto"/>
            </w:tcBorders>
            <w:shd w:val="clear" w:color="auto" w:fill="D9D9D9" w:themeFill="background1" w:themeFillShade="D9"/>
            <w:noWrap/>
            <w:vAlign w:val="bottom"/>
          </w:tcPr>
          <w:p w14:paraId="4F247F2F" w14:textId="77777777" w:rsidR="00F96509" w:rsidRPr="005E08A9" w:rsidRDefault="00F96509" w:rsidP="00CE4E4E">
            <w:pPr>
              <w:rPr>
                <w:b/>
                <w:noProof/>
                <w:color w:val="000000"/>
              </w:rPr>
            </w:pPr>
            <w:r>
              <w:rPr>
                <w:b/>
                <w:noProof/>
                <w:color w:val="000000"/>
              </w:rPr>
              <w:t>Pilier I - Science d’excellence</w:t>
            </w:r>
          </w:p>
        </w:tc>
      </w:tr>
      <w:tr w:rsidR="005C3BF9" w:rsidRPr="005E08A9" w14:paraId="177DD950" w14:textId="77777777">
        <w:trPr>
          <w:trHeight w:val="246"/>
        </w:trPr>
        <w:tc>
          <w:tcPr>
            <w:tcW w:w="2553" w:type="dxa"/>
            <w:tcBorders>
              <w:top w:val="single" w:sz="4" w:space="0" w:color="auto"/>
              <w:bottom w:val="single" w:sz="4" w:space="0" w:color="auto"/>
            </w:tcBorders>
            <w:noWrap/>
            <w:vAlign w:val="bottom"/>
            <w:hideMark/>
          </w:tcPr>
          <w:p w14:paraId="3C6A2525" w14:textId="77777777" w:rsidR="00F96509" w:rsidRPr="005E08A9" w:rsidRDefault="00F96509" w:rsidP="00CE4E4E">
            <w:pPr>
              <w:rPr>
                <w:noProof/>
                <w:color w:val="000000"/>
              </w:rPr>
            </w:pPr>
            <w:r>
              <w:rPr>
                <w:noProof/>
                <w:color w:val="000000"/>
              </w:rPr>
              <w:t>Conseil européen de la recherche (CER)</w:t>
            </w:r>
          </w:p>
        </w:tc>
        <w:tc>
          <w:tcPr>
            <w:tcW w:w="992" w:type="dxa"/>
            <w:tcBorders>
              <w:top w:val="single" w:sz="4" w:space="0" w:color="auto"/>
              <w:bottom w:val="single" w:sz="4" w:space="0" w:color="auto"/>
            </w:tcBorders>
            <w:noWrap/>
          </w:tcPr>
          <w:p w14:paraId="4F1FD262" w14:textId="77777777" w:rsidR="00F96509" w:rsidRPr="005E08A9" w:rsidRDefault="00F96509" w:rsidP="00CE4E4E">
            <w:pPr>
              <w:rPr>
                <w:noProof/>
                <w:color w:val="000000"/>
              </w:rPr>
            </w:pPr>
            <w:r>
              <w:rPr>
                <w:noProof/>
              </w:rPr>
              <w:t>41 431</w:t>
            </w:r>
          </w:p>
        </w:tc>
        <w:tc>
          <w:tcPr>
            <w:tcW w:w="850" w:type="dxa"/>
            <w:tcBorders>
              <w:top w:val="single" w:sz="4" w:space="0" w:color="auto"/>
              <w:bottom w:val="single" w:sz="4" w:space="0" w:color="auto"/>
            </w:tcBorders>
            <w:noWrap/>
          </w:tcPr>
          <w:p w14:paraId="12D6E08E" w14:textId="77777777" w:rsidR="00F96509" w:rsidRPr="005E08A9" w:rsidRDefault="00F96509" w:rsidP="00CE4E4E">
            <w:pPr>
              <w:rPr>
                <w:noProof/>
                <w:color w:val="000000"/>
              </w:rPr>
            </w:pPr>
            <w:r>
              <w:rPr>
                <w:noProof/>
              </w:rPr>
              <w:t>5 781</w:t>
            </w:r>
          </w:p>
        </w:tc>
        <w:tc>
          <w:tcPr>
            <w:tcW w:w="1134" w:type="dxa"/>
            <w:tcBorders>
              <w:top w:val="single" w:sz="4" w:space="0" w:color="auto"/>
              <w:bottom w:val="single" w:sz="4" w:space="0" w:color="auto"/>
            </w:tcBorders>
            <w:noWrap/>
          </w:tcPr>
          <w:p w14:paraId="58717117" w14:textId="77777777" w:rsidR="00F96509" w:rsidRPr="005E08A9" w:rsidRDefault="00F96509" w:rsidP="00CE4E4E">
            <w:pPr>
              <w:rPr>
                <w:noProof/>
                <w:color w:val="000000"/>
              </w:rPr>
            </w:pPr>
            <w:r>
              <w:rPr>
                <w:noProof/>
              </w:rPr>
              <w:t>14 %</w:t>
            </w:r>
          </w:p>
        </w:tc>
        <w:tc>
          <w:tcPr>
            <w:tcW w:w="1134" w:type="dxa"/>
            <w:tcBorders>
              <w:top w:val="single" w:sz="4" w:space="0" w:color="auto"/>
              <w:left w:val="nil"/>
              <w:bottom w:val="single" w:sz="4" w:space="0" w:color="auto"/>
              <w:right w:val="single" w:sz="4" w:space="0" w:color="auto"/>
            </w:tcBorders>
            <w:noWrap/>
          </w:tcPr>
          <w:p w14:paraId="130C6077" w14:textId="77777777" w:rsidR="00F96509" w:rsidRPr="005E08A9" w:rsidRDefault="00F96509" w:rsidP="00CE4E4E">
            <w:pPr>
              <w:rPr>
                <w:noProof/>
                <w:color w:val="000000"/>
              </w:rPr>
            </w:pPr>
            <w:r>
              <w:rPr>
                <w:noProof/>
              </w:rPr>
              <w:t>27 %</w:t>
            </w:r>
          </w:p>
        </w:tc>
        <w:tc>
          <w:tcPr>
            <w:tcW w:w="993" w:type="dxa"/>
            <w:tcBorders>
              <w:top w:val="single" w:sz="4" w:space="0" w:color="auto"/>
              <w:left w:val="nil"/>
              <w:bottom w:val="single" w:sz="4" w:space="0" w:color="auto"/>
              <w:right w:val="single" w:sz="4" w:space="0" w:color="auto"/>
            </w:tcBorders>
          </w:tcPr>
          <w:p w14:paraId="5CDD784A" w14:textId="77777777" w:rsidR="00F96509" w:rsidRPr="005E08A9" w:rsidRDefault="00F96509" w:rsidP="00CE4E4E">
            <w:pPr>
              <w:rPr>
                <w:noProof/>
                <w:color w:val="000000"/>
              </w:rPr>
            </w:pPr>
            <w:r>
              <w:rPr>
                <w:noProof/>
              </w:rPr>
              <w:t>5 651</w:t>
            </w:r>
          </w:p>
        </w:tc>
        <w:tc>
          <w:tcPr>
            <w:tcW w:w="1134" w:type="dxa"/>
            <w:tcBorders>
              <w:top w:val="single" w:sz="4" w:space="0" w:color="auto"/>
              <w:left w:val="single" w:sz="4" w:space="0" w:color="auto"/>
              <w:bottom w:val="single" w:sz="4" w:space="0" w:color="auto"/>
              <w:right w:val="single" w:sz="4" w:space="0" w:color="auto"/>
            </w:tcBorders>
          </w:tcPr>
          <w:p w14:paraId="375C9E87" w14:textId="77777777" w:rsidR="00F96509" w:rsidRPr="005E08A9" w:rsidRDefault="00F96509" w:rsidP="00CE4E4E">
            <w:pPr>
              <w:rPr>
                <w:noProof/>
                <w:color w:val="000000"/>
              </w:rPr>
            </w:pPr>
            <w:r>
              <w:rPr>
                <w:noProof/>
              </w:rPr>
              <w:t>10 199</w:t>
            </w:r>
          </w:p>
        </w:tc>
        <w:tc>
          <w:tcPr>
            <w:tcW w:w="1417" w:type="dxa"/>
            <w:tcBorders>
              <w:top w:val="single" w:sz="4" w:space="0" w:color="auto"/>
              <w:left w:val="single" w:sz="4" w:space="0" w:color="auto"/>
              <w:bottom w:val="single" w:sz="4" w:space="0" w:color="auto"/>
              <w:right w:val="single" w:sz="4" w:space="0" w:color="auto"/>
            </w:tcBorders>
          </w:tcPr>
          <w:p w14:paraId="773A6D3E" w14:textId="77777777" w:rsidR="00F96509" w:rsidRPr="005E08A9" w:rsidRDefault="00F96509" w:rsidP="00CE4E4E">
            <w:pPr>
              <w:rPr>
                <w:noProof/>
                <w:color w:val="000000"/>
              </w:rPr>
            </w:pPr>
            <w:r>
              <w:rPr>
                <w:noProof/>
              </w:rPr>
              <w:t>1,8</w:t>
            </w:r>
          </w:p>
        </w:tc>
      </w:tr>
      <w:tr w:rsidR="005C3BF9" w:rsidRPr="005E08A9" w14:paraId="6BF5D048" w14:textId="77777777">
        <w:trPr>
          <w:trHeight w:val="246"/>
        </w:trPr>
        <w:tc>
          <w:tcPr>
            <w:tcW w:w="2553" w:type="dxa"/>
            <w:tcBorders>
              <w:top w:val="single" w:sz="4" w:space="0" w:color="auto"/>
              <w:bottom w:val="single" w:sz="4" w:space="0" w:color="auto"/>
            </w:tcBorders>
            <w:noWrap/>
            <w:vAlign w:val="bottom"/>
            <w:hideMark/>
          </w:tcPr>
          <w:p w14:paraId="52069A38" w14:textId="77777777" w:rsidR="00F96509" w:rsidRPr="00A4763C" w:rsidRDefault="00F96509" w:rsidP="00CE4E4E">
            <w:pPr>
              <w:rPr>
                <w:noProof/>
                <w:color w:val="000000"/>
              </w:rPr>
            </w:pPr>
            <w:r>
              <w:rPr>
                <w:noProof/>
                <w:color w:val="000000"/>
              </w:rPr>
              <w:t>Actions Marie Skłodowska-Curie (MSCA)</w:t>
            </w:r>
          </w:p>
        </w:tc>
        <w:tc>
          <w:tcPr>
            <w:tcW w:w="992" w:type="dxa"/>
            <w:tcBorders>
              <w:top w:val="single" w:sz="4" w:space="0" w:color="auto"/>
              <w:bottom w:val="single" w:sz="4" w:space="0" w:color="auto"/>
            </w:tcBorders>
            <w:noWrap/>
          </w:tcPr>
          <w:p w14:paraId="62572D1C" w14:textId="77777777" w:rsidR="00F96509" w:rsidRPr="005E08A9" w:rsidRDefault="00F96509" w:rsidP="00CE4E4E">
            <w:pPr>
              <w:rPr>
                <w:noProof/>
                <w:color w:val="000000"/>
              </w:rPr>
            </w:pPr>
            <w:r>
              <w:rPr>
                <w:noProof/>
              </w:rPr>
              <w:t>56 730</w:t>
            </w:r>
          </w:p>
        </w:tc>
        <w:tc>
          <w:tcPr>
            <w:tcW w:w="850" w:type="dxa"/>
            <w:tcBorders>
              <w:top w:val="single" w:sz="4" w:space="0" w:color="auto"/>
              <w:bottom w:val="single" w:sz="4" w:space="0" w:color="auto"/>
            </w:tcBorders>
            <w:noWrap/>
          </w:tcPr>
          <w:p w14:paraId="456A720C" w14:textId="77777777" w:rsidR="00F96509" w:rsidRPr="005E08A9" w:rsidRDefault="00F96509" w:rsidP="00CE4E4E">
            <w:pPr>
              <w:rPr>
                <w:noProof/>
                <w:color w:val="000000"/>
              </w:rPr>
            </w:pPr>
            <w:r>
              <w:rPr>
                <w:noProof/>
              </w:rPr>
              <w:t>8 152</w:t>
            </w:r>
          </w:p>
        </w:tc>
        <w:tc>
          <w:tcPr>
            <w:tcW w:w="1134" w:type="dxa"/>
            <w:tcBorders>
              <w:top w:val="single" w:sz="4" w:space="0" w:color="auto"/>
              <w:bottom w:val="single" w:sz="4" w:space="0" w:color="auto"/>
            </w:tcBorders>
            <w:noWrap/>
          </w:tcPr>
          <w:p w14:paraId="1FA61F43" w14:textId="77777777" w:rsidR="00F96509" w:rsidRPr="005E08A9" w:rsidRDefault="00F96509" w:rsidP="00CE4E4E">
            <w:pPr>
              <w:rPr>
                <w:noProof/>
                <w:color w:val="000000"/>
              </w:rPr>
            </w:pPr>
            <w:r>
              <w:rPr>
                <w:noProof/>
              </w:rPr>
              <w:t>14 %</w:t>
            </w:r>
          </w:p>
        </w:tc>
        <w:tc>
          <w:tcPr>
            <w:tcW w:w="1134" w:type="dxa"/>
            <w:tcBorders>
              <w:top w:val="single" w:sz="4" w:space="0" w:color="auto"/>
              <w:left w:val="nil"/>
              <w:bottom w:val="single" w:sz="4" w:space="0" w:color="auto"/>
              <w:right w:val="single" w:sz="4" w:space="0" w:color="auto"/>
            </w:tcBorders>
            <w:noWrap/>
          </w:tcPr>
          <w:p w14:paraId="430A0C34" w14:textId="77777777" w:rsidR="00F96509" w:rsidRPr="005E08A9" w:rsidRDefault="00F96509" w:rsidP="00CE4E4E">
            <w:pPr>
              <w:rPr>
                <w:noProof/>
                <w:color w:val="000000"/>
              </w:rPr>
            </w:pPr>
            <w:r>
              <w:rPr>
                <w:noProof/>
              </w:rPr>
              <w:t>82 %</w:t>
            </w:r>
          </w:p>
        </w:tc>
        <w:tc>
          <w:tcPr>
            <w:tcW w:w="993" w:type="dxa"/>
            <w:tcBorders>
              <w:top w:val="single" w:sz="4" w:space="0" w:color="auto"/>
              <w:left w:val="nil"/>
              <w:bottom w:val="single" w:sz="4" w:space="0" w:color="auto"/>
              <w:right w:val="single" w:sz="4" w:space="0" w:color="auto"/>
            </w:tcBorders>
          </w:tcPr>
          <w:p w14:paraId="73830FF0" w14:textId="77777777" w:rsidR="00F96509" w:rsidRPr="005E08A9" w:rsidRDefault="00F96509" w:rsidP="00CE4E4E">
            <w:pPr>
              <w:rPr>
                <w:noProof/>
                <w:color w:val="000000"/>
              </w:rPr>
            </w:pPr>
            <w:r>
              <w:rPr>
                <w:noProof/>
              </w:rPr>
              <w:t>6 692</w:t>
            </w:r>
          </w:p>
        </w:tc>
        <w:tc>
          <w:tcPr>
            <w:tcW w:w="1134" w:type="dxa"/>
            <w:tcBorders>
              <w:top w:val="single" w:sz="4" w:space="0" w:color="auto"/>
              <w:left w:val="single" w:sz="4" w:space="0" w:color="auto"/>
              <w:bottom w:val="single" w:sz="4" w:space="0" w:color="auto"/>
              <w:right w:val="single" w:sz="4" w:space="0" w:color="auto"/>
            </w:tcBorders>
          </w:tcPr>
          <w:p w14:paraId="06075D5B" w14:textId="77777777" w:rsidR="00F96509" w:rsidRPr="005E08A9" w:rsidRDefault="00F96509" w:rsidP="00CE4E4E">
            <w:pPr>
              <w:rPr>
                <w:noProof/>
                <w:color w:val="000000"/>
              </w:rPr>
            </w:pPr>
            <w:r>
              <w:rPr>
                <w:noProof/>
              </w:rPr>
              <w:t>3 893</w:t>
            </w:r>
          </w:p>
        </w:tc>
        <w:tc>
          <w:tcPr>
            <w:tcW w:w="1417" w:type="dxa"/>
            <w:tcBorders>
              <w:top w:val="single" w:sz="4" w:space="0" w:color="auto"/>
              <w:left w:val="single" w:sz="4" w:space="0" w:color="auto"/>
              <w:bottom w:val="single" w:sz="4" w:space="0" w:color="auto"/>
              <w:right w:val="single" w:sz="4" w:space="0" w:color="auto"/>
            </w:tcBorders>
          </w:tcPr>
          <w:p w14:paraId="63952693" w14:textId="77777777" w:rsidR="00F96509" w:rsidRPr="005E08A9" w:rsidRDefault="00F96509" w:rsidP="00CE4E4E">
            <w:pPr>
              <w:rPr>
                <w:noProof/>
                <w:color w:val="000000"/>
              </w:rPr>
            </w:pPr>
            <w:r>
              <w:rPr>
                <w:noProof/>
              </w:rPr>
              <w:t>0,6</w:t>
            </w:r>
          </w:p>
        </w:tc>
      </w:tr>
      <w:tr w:rsidR="005C3BF9" w:rsidRPr="005E08A9" w14:paraId="19FEA088" w14:textId="77777777">
        <w:trPr>
          <w:trHeight w:val="246"/>
        </w:trPr>
        <w:tc>
          <w:tcPr>
            <w:tcW w:w="2553" w:type="dxa"/>
            <w:tcBorders>
              <w:top w:val="single" w:sz="4" w:space="0" w:color="auto"/>
              <w:bottom w:val="single" w:sz="4" w:space="0" w:color="auto"/>
            </w:tcBorders>
            <w:noWrap/>
            <w:vAlign w:val="bottom"/>
            <w:hideMark/>
          </w:tcPr>
          <w:p w14:paraId="50445629" w14:textId="77777777" w:rsidR="00F96509" w:rsidRPr="005E08A9" w:rsidRDefault="00F96509" w:rsidP="00CE4E4E">
            <w:pPr>
              <w:rPr>
                <w:noProof/>
                <w:color w:val="000000"/>
              </w:rPr>
            </w:pPr>
            <w:r>
              <w:rPr>
                <w:noProof/>
                <w:color w:val="000000"/>
              </w:rPr>
              <w:t>Infrastructures de recherche</w:t>
            </w:r>
          </w:p>
        </w:tc>
        <w:tc>
          <w:tcPr>
            <w:tcW w:w="992" w:type="dxa"/>
            <w:tcBorders>
              <w:top w:val="single" w:sz="4" w:space="0" w:color="auto"/>
              <w:bottom w:val="single" w:sz="4" w:space="0" w:color="auto"/>
            </w:tcBorders>
            <w:noWrap/>
          </w:tcPr>
          <w:p w14:paraId="68AA5469" w14:textId="77777777" w:rsidR="00F96509" w:rsidRPr="005E08A9" w:rsidRDefault="00F96509" w:rsidP="00CE4E4E">
            <w:pPr>
              <w:rPr>
                <w:noProof/>
                <w:color w:val="000000"/>
              </w:rPr>
            </w:pPr>
            <w:r>
              <w:rPr>
                <w:noProof/>
              </w:rPr>
              <w:t>402</w:t>
            </w:r>
          </w:p>
        </w:tc>
        <w:tc>
          <w:tcPr>
            <w:tcW w:w="850" w:type="dxa"/>
            <w:tcBorders>
              <w:top w:val="single" w:sz="4" w:space="0" w:color="auto"/>
              <w:bottom w:val="single" w:sz="4" w:space="0" w:color="auto"/>
            </w:tcBorders>
            <w:noWrap/>
          </w:tcPr>
          <w:p w14:paraId="69752119" w14:textId="77777777" w:rsidR="00F96509" w:rsidRPr="005E08A9" w:rsidRDefault="00F96509" w:rsidP="00CE4E4E">
            <w:pPr>
              <w:rPr>
                <w:noProof/>
                <w:color w:val="000000"/>
              </w:rPr>
            </w:pPr>
            <w:r>
              <w:rPr>
                <w:noProof/>
              </w:rPr>
              <w:t>170</w:t>
            </w:r>
          </w:p>
        </w:tc>
        <w:tc>
          <w:tcPr>
            <w:tcW w:w="1134" w:type="dxa"/>
            <w:tcBorders>
              <w:top w:val="single" w:sz="4" w:space="0" w:color="auto"/>
              <w:bottom w:val="single" w:sz="4" w:space="0" w:color="auto"/>
            </w:tcBorders>
            <w:noWrap/>
          </w:tcPr>
          <w:p w14:paraId="4D83BDEF" w14:textId="77777777" w:rsidR="00F96509" w:rsidRPr="005E08A9" w:rsidRDefault="00F96509" w:rsidP="00CE4E4E">
            <w:pPr>
              <w:rPr>
                <w:noProof/>
                <w:color w:val="000000"/>
              </w:rPr>
            </w:pPr>
            <w:r>
              <w:rPr>
                <w:noProof/>
              </w:rPr>
              <w:t>42 %</w:t>
            </w:r>
          </w:p>
        </w:tc>
        <w:tc>
          <w:tcPr>
            <w:tcW w:w="1134" w:type="dxa"/>
            <w:tcBorders>
              <w:top w:val="single" w:sz="4" w:space="0" w:color="auto"/>
              <w:left w:val="nil"/>
              <w:bottom w:val="single" w:sz="4" w:space="0" w:color="auto"/>
              <w:right w:val="single" w:sz="4" w:space="0" w:color="auto"/>
            </w:tcBorders>
            <w:noWrap/>
          </w:tcPr>
          <w:p w14:paraId="521A4B58" w14:textId="77777777" w:rsidR="00F96509" w:rsidRPr="005E08A9" w:rsidRDefault="00F96509" w:rsidP="00CE4E4E">
            <w:pPr>
              <w:rPr>
                <w:noProof/>
                <w:color w:val="000000"/>
              </w:rPr>
            </w:pPr>
            <w:r>
              <w:rPr>
                <w:noProof/>
              </w:rPr>
              <w:t>86 %</w:t>
            </w:r>
          </w:p>
        </w:tc>
        <w:tc>
          <w:tcPr>
            <w:tcW w:w="993" w:type="dxa"/>
            <w:tcBorders>
              <w:top w:val="single" w:sz="4" w:space="0" w:color="auto"/>
              <w:left w:val="nil"/>
              <w:bottom w:val="single" w:sz="4" w:space="0" w:color="auto"/>
              <w:right w:val="single" w:sz="4" w:space="0" w:color="auto"/>
            </w:tcBorders>
          </w:tcPr>
          <w:p w14:paraId="55C960C9" w14:textId="77777777" w:rsidR="00F96509" w:rsidRPr="005E08A9" w:rsidRDefault="00F96509" w:rsidP="00CE4E4E">
            <w:pPr>
              <w:rPr>
                <w:noProof/>
                <w:color w:val="000000"/>
              </w:rPr>
            </w:pPr>
            <w:r>
              <w:rPr>
                <w:noProof/>
              </w:rPr>
              <w:t>179</w:t>
            </w:r>
          </w:p>
        </w:tc>
        <w:tc>
          <w:tcPr>
            <w:tcW w:w="1134" w:type="dxa"/>
            <w:tcBorders>
              <w:top w:val="single" w:sz="4" w:space="0" w:color="auto"/>
              <w:left w:val="single" w:sz="4" w:space="0" w:color="auto"/>
              <w:bottom w:val="single" w:sz="4" w:space="0" w:color="auto"/>
              <w:right w:val="single" w:sz="4" w:space="0" w:color="auto"/>
            </w:tcBorders>
          </w:tcPr>
          <w:p w14:paraId="2992D57D" w14:textId="77777777" w:rsidR="00F96509" w:rsidRPr="005E08A9" w:rsidRDefault="00F96509" w:rsidP="00CE4E4E">
            <w:pPr>
              <w:rPr>
                <w:noProof/>
                <w:color w:val="000000"/>
              </w:rPr>
            </w:pPr>
            <w:r>
              <w:rPr>
                <w:noProof/>
              </w:rPr>
              <w:t>1 230</w:t>
            </w:r>
          </w:p>
        </w:tc>
        <w:tc>
          <w:tcPr>
            <w:tcW w:w="1417" w:type="dxa"/>
            <w:tcBorders>
              <w:top w:val="single" w:sz="4" w:space="0" w:color="auto"/>
              <w:left w:val="single" w:sz="4" w:space="0" w:color="auto"/>
              <w:bottom w:val="single" w:sz="4" w:space="0" w:color="auto"/>
              <w:right w:val="single" w:sz="4" w:space="0" w:color="auto"/>
            </w:tcBorders>
          </w:tcPr>
          <w:p w14:paraId="0114E76B" w14:textId="77777777" w:rsidR="00F96509" w:rsidRPr="005E08A9" w:rsidRDefault="00F96509" w:rsidP="00CE4E4E">
            <w:pPr>
              <w:rPr>
                <w:noProof/>
                <w:color w:val="000000"/>
              </w:rPr>
            </w:pPr>
            <w:r>
              <w:rPr>
                <w:noProof/>
              </w:rPr>
              <w:t>6,9</w:t>
            </w:r>
          </w:p>
        </w:tc>
      </w:tr>
      <w:tr w:rsidR="00456887" w:rsidRPr="005E08A9" w14:paraId="25B20E35" w14:textId="77777777">
        <w:trPr>
          <w:trHeight w:val="246"/>
        </w:trPr>
        <w:tc>
          <w:tcPr>
            <w:tcW w:w="10207" w:type="dxa"/>
            <w:gridSpan w:val="8"/>
            <w:tcBorders>
              <w:top w:val="single" w:sz="4" w:space="0" w:color="auto"/>
              <w:bottom w:val="single" w:sz="4" w:space="0" w:color="auto"/>
              <w:right w:val="single" w:sz="4" w:space="0" w:color="auto"/>
            </w:tcBorders>
            <w:shd w:val="clear" w:color="auto" w:fill="D9D9D9" w:themeFill="background1" w:themeFillShade="D9"/>
            <w:noWrap/>
            <w:vAlign w:val="bottom"/>
          </w:tcPr>
          <w:p w14:paraId="58613EC6" w14:textId="77777777" w:rsidR="00F96509" w:rsidRPr="005E08A9" w:rsidRDefault="00F96509" w:rsidP="00CE4E4E">
            <w:pPr>
              <w:rPr>
                <w:b/>
                <w:noProof/>
                <w:color w:val="000000"/>
              </w:rPr>
            </w:pPr>
            <w:r>
              <w:rPr>
                <w:b/>
                <w:noProof/>
                <w:color w:val="000000"/>
              </w:rPr>
              <w:t>Pilier II – Problématiques mondiales et compétitivité industrielle européenne</w:t>
            </w:r>
          </w:p>
        </w:tc>
      </w:tr>
      <w:tr w:rsidR="005C3BF9" w:rsidRPr="005E08A9" w14:paraId="36A9A4E8" w14:textId="77777777">
        <w:trPr>
          <w:trHeight w:val="246"/>
        </w:trPr>
        <w:tc>
          <w:tcPr>
            <w:tcW w:w="2553" w:type="dxa"/>
            <w:tcBorders>
              <w:top w:val="single" w:sz="4" w:space="0" w:color="auto"/>
              <w:bottom w:val="single" w:sz="4" w:space="0" w:color="auto"/>
            </w:tcBorders>
            <w:noWrap/>
            <w:vAlign w:val="bottom"/>
            <w:hideMark/>
          </w:tcPr>
          <w:p w14:paraId="3AD7C200" w14:textId="2DBC4F4C" w:rsidR="00F96509" w:rsidRPr="005E08A9" w:rsidRDefault="00F96509" w:rsidP="00CE4E4E">
            <w:pPr>
              <w:rPr>
                <w:noProof/>
                <w:color w:val="000000"/>
              </w:rPr>
            </w:pPr>
            <w:r>
              <w:rPr>
                <w:noProof/>
                <w:color w:val="000000"/>
              </w:rPr>
              <w:t>Pôle 1 – Santé</w:t>
            </w:r>
          </w:p>
        </w:tc>
        <w:tc>
          <w:tcPr>
            <w:tcW w:w="992" w:type="dxa"/>
            <w:tcBorders>
              <w:top w:val="single" w:sz="4" w:space="0" w:color="auto"/>
              <w:bottom w:val="single" w:sz="4" w:space="0" w:color="auto"/>
            </w:tcBorders>
            <w:noWrap/>
          </w:tcPr>
          <w:p w14:paraId="023A3D11" w14:textId="77777777" w:rsidR="00F96509" w:rsidRPr="005E08A9" w:rsidRDefault="00F96509" w:rsidP="00CE4E4E">
            <w:pPr>
              <w:rPr>
                <w:noProof/>
                <w:color w:val="000000"/>
              </w:rPr>
            </w:pPr>
            <w:r>
              <w:rPr>
                <w:noProof/>
              </w:rPr>
              <w:t>2 753</w:t>
            </w:r>
          </w:p>
        </w:tc>
        <w:tc>
          <w:tcPr>
            <w:tcW w:w="850" w:type="dxa"/>
            <w:tcBorders>
              <w:top w:val="single" w:sz="4" w:space="0" w:color="auto"/>
              <w:bottom w:val="single" w:sz="4" w:space="0" w:color="auto"/>
            </w:tcBorders>
            <w:noWrap/>
          </w:tcPr>
          <w:p w14:paraId="0F455818" w14:textId="77777777" w:rsidR="00F96509" w:rsidRPr="005E08A9" w:rsidRDefault="00F96509" w:rsidP="00CE4E4E">
            <w:pPr>
              <w:rPr>
                <w:noProof/>
                <w:color w:val="000000"/>
              </w:rPr>
            </w:pPr>
            <w:r>
              <w:rPr>
                <w:noProof/>
              </w:rPr>
              <w:t>640</w:t>
            </w:r>
          </w:p>
        </w:tc>
        <w:tc>
          <w:tcPr>
            <w:tcW w:w="1134" w:type="dxa"/>
            <w:tcBorders>
              <w:top w:val="single" w:sz="4" w:space="0" w:color="auto"/>
              <w:bottom w:val="single" w:sz="4" w:space="0" w:color="auto"/>
            </w:tcBorders>
            <w:noWrap/>
          </w:tcPr>
          <w:p w14:paraId="72515CEC" w14:textId="77777777" w:rsidR="00F96509" w:rsidRPr="005E08A9" w:rsidRDefault="00F96509" w:rsidP="00CE4E4E">
            <w:pPr>
              <w:rPr>
                <w:noProof/>
                <w:color w:val="000000"/>
              </w:rPr>
            </w:pPr>
            <w:r>
              <w:rPr>
                <w:noProof/>
              </w:rPr>
              <w:t>23 %</w:t>
            </w:r>
          </w:p>
        </w:tc>
        <w:tc>
          <w:tcPr>
            <w:tcW w:w="1134" w:type="dxa"/>
            <w:tcBorders>
              <w:top w:val="single" w:sz="4" w:space="0" w:color="auto"/>
              <w:left w:val="nil"/>
              <w:bottom w:val="single" w:sz="4" w:space="0" w:color="auto"/>
              <w:right w:val="single" w:sz="4" w:space="0" w:color="auto"/>
            </w:tcBorders>
            <w:noWrap/>
          </w:tcPr>
          <w:p w14:paraId="3666B02A" w14:textId="77777777" w:rsidR="00F96509" w:rsidRPr="005E08A9" w:rsidRDefault="00F96509" w:rsidP="00CE4E4E">
            <w:pPr>
              <w:rPr>
                <w:noProof/>
                <w:color w:val="000000"/>
              </w:rPr>
            </w:pPr>
            <w:r>
              <w:rPr>
                <w:noProof/>
              </w:rPr>
              <w:t>55 %</w:t>
            </w:r>
          </w:p>
        </w:tc>
        <w:tc>
          <w:tcPr>
            <w:tcW w:w="993" w:type="dxa"/>
            <w:tcBorders>
              <w:top w:val="single" w:sz="4" w:space="0" w:color="auto"/>
              <w:left w:val="nil"/>
              <w:bottom w:val="single" w:sz="4" w:space="0" w:color="auto"/>
              <w:right w:val="single" w:sz="4" w:space="0" w:color="auto"/>
            </w:tcBorders>
          </w:tcPr>
          <w:p w14:paraId="1C80FA6D" w14:textId="77777777" w:rsidR="00F96509" w:rsidRPr="005E08A9" w:rsidRDefault="00F96509" w:rsidP="00CE4E4E">
            <w:pPr>
              <w:rPr>
                <w:noProof/>
                <w:color w:val="000000"/>
              </w:rPr>
            </w:pPr>
            <w:r>
              <w:rPr>
                <w:noProof/>
              </w:rPr>
              <w:t>657</w:t>
            </w:r>
          </w:p>
        </w:tc>
        <w:tc>
          <w:tcPr>
            <w:tcW w:w="1134" w:type="dxa"/>
            <w:tcBorders>
              <w:top w:val="single" w:sz="4" w:space="0" w:color="auto"/>
              <w:left w:val="single" w:sz="4" w:space="0" w:color="auto"/>
              <w:bottom w:val="single" w:sz="4" w:space="0" w:color="auto"/>
              <w:right w:val="single" w:sz="4" w:space="0" w:color="auto"/>
            </w:tcBorders>
          </w:tcPr>
          <w:p w14:paraId="1B13DFCC" w14:textId="77777777" w:rsidR="00F96509" w:rsidRPr="005E08A9" w:rsidRDefault="00F96509" w:rsidP="00CE4E4E">
            <w:pPr>
              <w:rPr>
                <w:noProof/>
                <w:color w:val="000000"/>
              </w:rPr>
            </w:pPr>
            <w:r>
              <w:rPr>
                <w:noProof/>
              </w:rPr>
              <w:t>5 269</w:t>
            </w:r>
          </w:p>
        </w:tc>
        <w:tc>
          <w:tcPr>
            <w:tcW w:w="1417" w:type="dxa"/>
            <w:tcBorders>
              <w:top w:val="single" w:sz="4" w:space="0" w:color="auto"/>
              <w:left w:val="single" w:sz="4" w:space="0" w:color="auto"/>
              <w:bottom w:val="single" w:sz="4" w:space="0" w:color="auto"/>
              <w:right w:val="single" w:sz="4" w:space="0" w:color="auto"/>
            </w:tcBorders>
          </w:tcPr>
          <w:p w14:paraId="647D516D" w14:textId="77777777" w:rsidR="00F96509" w:rsidRPr="005E08A9" w:rsidRDefault="00F96509" w:rsidP="00CE4E4E">
            <w:pPr>
              <w:rPr>
                <w:noProof/>
                <w:color w:val="000000"/>
              </w:rPr>
            </w:pPr>
            <w:r>
              <w:rPr>
                <w:noProof/>
              </w:rPr>
              <w:t>8</w:t>
            </w:r>
          </w:p>
        </w:tc>
      </w:tr>
      <w:tr w:rsidR="005C3BF9" w:rsidRPr="005E08A9" w14:paraId="64A77915" w14:textId="77777777">
        <w:trPr>
          <w:trHeight w:val="246"/>
        </w:trPr>
        <w:tc>
          <w:tcPr>
            <w:tcW w:w="2553" w:type="dxa"/>
            <w:tcBorders>
              <w:top w:val="single" w:sz="4" w:space="0" w:color="auto"/>
              <w:bottom w:val="single" w:sz="4" w:space="0" w:color="auto"/>
            </w:tcBorders>
            <w:noWrap/>
            <w:vAlign w:val="bottom"/>
            <w:hideMark/>
          </w:tcPr>
          <w:p w14:paraId="252817BF" w14:textId="2C3AD63A" w:rsidR="00F96509" w:rsidRPr="005E08A9" w:rsidRDefault="00F96509" w:rsidP="00CE4E4E">
            <w:pPr>
              <w:rPr>
                <w:noProof/>
                <w:color w:val="000000"/>
              </w:rPr>
            </w:pPr>
            <w:r>
              <w:rPr>
                <w:noProof/>
                <w:color w:val="000000"/>
              </w:rPr>
              <w:t>Pôle 2 – Culture, créativité et société inclusive</w:t>
            </w:r>
          </w:p>
        </w:tc>
        <w:tc>
          <w:tcPr>
            <w:tcW w:w="992" w:type="dxa"/>
            <w:tcBorders>
              <w:top w:val="single" w:sz="4" w:space="0" w:color="auto"/>
              <w:bottom w:val="single" w:sz="4" w:space="0" w:color="auto"/>
            </w:tcBorders>
            <w:noWrap/>
          </w:tcPr>
          <w:p w14:paraId="0E23CE76" w14:textId="77777777" w:rsidR="00F96509" w:rsidRPr="005E08A9" w:rsidRDefault="00F96509" w:rsidP="00CE4E4E">
            <w:pPr>
              <w:rPr>
                <w:noProof/>
                <w:color w:val="000000"/>
              </w:rPr>
            </w:pPr>
            <w:r>
              <w:rPr>
                <w:noProof/>
              </w:rPr>
              <w:t>2 460</w:t>
            </w:r>
          </w:p>
        </w:tc>
        <w:tc>
          <w:tcPr>
            <w:tcW w:w="850" w:type="dxa"/>
            <w:tcBorders>
              <w:top w:val="single" w:sz="4" w:space="0" w:color="auto"/>
              <w:bottom w:val="single" w:sz="4" w:space="0" w:color="auto"/>
            </w:tcBorders>
            <w:noWrap/>
          </w:tcPr>
          <w:p w14:paraId="0EB430B4" w14:textId="77777777" w:rsidR="00F96509" w:rsidRPr="005E08A9" w:rsidRDefault="00F96509" w:rsidP="00CE4E4E">
            <w:pPr>
              <w:rPr>
                <w:noProof/>
                <w:color w:val="000000"/>
              </w:rPr>
            </w:pPr>
            <w:r>
              <w:rPr>
                <w:noProof/>
              </w:rPr>
              <w:t>339</w:t>
            </w:r>
          </w:p>
        </w:tc>
        <w:tc>
          <w:tcPr>
            <w:tcW w:w="1134" w:type="dxa"/>
            <w:tcBorders>
              <w:top w:val="single" w:sz="4" w:space="0" w:color="auto"/>
              <w:bottom w:val="single" w:sz="4" w:space="0" w:color="auto"/>
            </w:tcBorders>
            <w:noWrap/>
          </w:tcPr>
          <w:p w14:paraId="31BD26D5" w14:textId="77777777" w:rsidR="00F96509" w:rsidRPr="005E08A9" w:rsidRDefault="00F96509" w:rsidP="00CE4E4E">
            <w:pPr>
              <w:rPr>
                <w:noProof/>
                <w:color w:val="000000"/>
              </w:rPr>
            </w:pPr>
            <w:r>
              <w:rPr>
                <w:noProof/>
              </w:rPr>
              <w:t>14 %</w:t>
            </w:r>
          </w:p>
        </w:tc>
        <w:tc>
          <w:tcPr>
            <w:tcW w:w="1134" w:type="dxa"/>
            <w:tcBorders>
              <w:top w:val="single" w:sz="4" w:space="0" w:color="auto"/>
              <w:left w:val="nil"/>
              <w:bottom w:val="single" w:sz="4" w:space="0" w:color="auto"/>
              <w:right w:val="single" w:sz="4" w:space="0" w:color="auto"/>
            </w:tcBorders>
            <w:noWrap/>
          </w:tcPr>
          <w:p w14:paraId="4087911F" w14:textId="77777777" w:rsidR="00F96509" w:rsidRPr="005E08A9" w:rsidRDefault="00F96509" w:rsidP="00CE4E4E">
            <w:pPr>
              <w:rPr>
                <w:noProof/>
                <w:color w:val="000000"/>
              </w:rPr>
            </w:pPr>
            <w:r>
              <w:rPr>
                <w:noProof/>
              </w:rPr>
              <w:t>59 %</w:t>
            </w:r>
          </w:p>
        </w:tc>
        <w:tc>
          <w:tcPr>
            <w:tcW w:w="993" w:type="dxa"/>
            <w:tcBorders>
              <w:top w:val="single" w:sz="4" w:space="0" w:color="auto"/>
              <w:left w:val="nil"/>
              <w:bottom w:val="single" w:sz="4" w:space="0" w:color="auto"/>
              <w:right w:val="single" w:sz="4" w:space="0" w:color="auto"/>
            </w:tcBorders>
          </w:tcPr>
          <w:p w14:paraId="2BD720A3" w14:textId="77777777" w:rsidR="00F96509" w:rsidRPr="005E08A9" w:rsidRDefault="00F96509" w:rsidP="00CE4E4E">
            <w:pPr>
              <w:rPr>
                <w:noProof/>
                <w:color w:val="000000"/>
              </w:rPr>
            </w:pPr>
            <w:r>
              <w:rPr>
                <w:noProof/>
              </w:rPr>
              <w:t>350</w:t>
            </w:r>
          </w:p>
        </w:tc>
        <w:tc>
          <w:tcPr>
            <w:tcW w:w="1134" w:type="dxa"/>
            <w:tcBorders>
              <w:top w:val="single" w:sz="4" w:space="0" w:color="auto"/>
              <w:left w:val="single" w:sz="4" w:space="0" w:color="auto"/>
              <w:bottom w:val="single" w:sz="4" w:space="0" w:color="auto"/>
              <w:right w:val="single" w:sz="4" w:space="0" w:color="auto"/>
            </w:tcBorders>
          </w:tcPr>
          <w:p w14:paraId="770BE6E7" w14:textId="77777777" w:rsidR="00F96509" w:rsidRPr="005E08A9" w:rsidRDefault="00F96509" w:rsidP="00CE4E4E">
            <w:pPr>
              <w:rPr>
                <w:noProof/>
                <w:color w:val="000000"/>
              </w:rPr>
            </w:pPr>
            <w:r>
              <w:rPr>
                <w:noProof/>
              </w:rPr>
              <w:t>1 178</w:t>
            </w:r>
          </w:p>
        </w:tc>
        <w:tc>
          <w:tcPr>
            <w:tcW w:w="1417" w:type="dxa"/>
            <w:tcBorders>
              <w:top w:val="single" w:sz="4" w:space="0" w:color="auto"/>
              <w:left w:val="single" w:sz="4" w:space="0" w:color="auto"/>
              <w:bottom w:val="single" w:sz="4" w:space="0" w:color="auto"/>
              <w:right w:val="single" w:sz="4" w:space="0" w:color="auto"/>
            </w:tcBorders>
          </w:tcPr>
          <w:p w14:paraId="1EA61605" w14:textId="77777777" w:rsidR="00F96509" w:rsidRPr="005E08A9" w:rsidRDefault="00F96509" w:rsidP="00CE4E4E">
            <w:pPr>
              <w:rPr>
                <w:noProof/>
                <w:color w:val="000000"/>
              </w:rPr>
            </w:pPr>
            <w:r>
              <w:rPr>
                <w:noProof/>
              </w:rPr>
              <w:t>3,4</w:t>
            </w:r>
          </w:p>
        </w:tc>
      </w:tr>
      <w:tr w:rsidR="005C3BF9" w:rsidRPr="005E08A9" w14:paraId="482FA9A1" w14:textId="77777777">
        <w:trPr>
          <w:trHeight w:val="246"/>
        </w:trPr>
        <w:tc>
          <w:tcPr>
            <w:tcW w:w="2553" w:type="dxa"/>
            <w:tcBorders>
              <w:top w:val="single" w:sz="4" w:space="0" w:color="auto"/>
              <w:bottom w:val="single" w:sz="4" w:space="0" w:color="auto"/>
            </w:tcBorders>
            <w:noWrap/>
            <w:vAlign w:val="bottom"/>
            <w:hideMark/>
          </w:tcPr>
          <w:p w14:paraId="07DD0E79" w14:textId="4FA11EE1" w:rsidR="00F96509" w:rsidRPr="005E08A9" w:rsidRDefault="00F96509" w:rsidP="00CE4E4E">
            <w:pPr>
              <w:rPr>
                <w:noProof/>
                <w:color w:val="000000"/>
              </w:rPr>
            </w:pPr>
            <w:r>
              <w:rPr>
                <w:noProof/>
                <w:color w:val="000000"/>
              </w:rPr>
              <w:t>Pôle 3 – Sécurité civile pour la société</w:t>
            </w:r>
          </w:p>
        </w:tc>
        <w:tc>
          <w:tcPr>
            <w:tcW w:w="992" w:type="dxa"/>
            <w:tcBorders>
              <w:top w:val="single" w:sz="4" w:space="0" w:color="auto"/>
              <w:bottom w:val="single" w:sz="4" w:space="0" w:color="auto"/>
            </w:tcBorders>
            <w:noWrap/>
          </w:tcPr>
          <w:p w14:paraId="4680E464" w14:textId="77777777" w:rsidR="00F96509" w:rsidRPr="005E08A9" w:rsidRDefault="00F96509" w:rsidP="00CE4E4E">
            <w:pPr>
              <w:rPr>
                <w:noProof/>
                <w:color w:val="000000"/>
              </w:rPr>
            </w:pPr>
            <w:r>
              <w:rPr>
                <w:noProof/>
              </w:rPr>
              <w:t>1 533</w:t>
            </w:r>
          </w:p>
        </w:tc>
        <w:tc>
          <w:tcPr>
            <w:tcW w:w="850" w:type="dxa"/>
            <w:tcBorders>
              <w:top w:val="single" w:sz="4" w:space="0" w:color="auto"/>
              <w:bottom w:val="single" w:sz="4" w:space="0" w:color="auto"/>
            </w:tcBorders>
            <w:noWrap/>
          </w:tcPr>
          <w:p w14:paraId="59C69F27" w14:textId="77777777" w:rsidR="00F96509" w:rsidRPr="005E08A9" w:rsidRDefault="00F96509" w:rsidP="00CE4E4E">
            <w:pPr>
              <w:rPr>
                <w:noProof/>
                <w:color w:val="000000"/>
              </w:rPr>
            </w:pPr>
            <w:r>
              <w:rPr>
                <w:noProof/>
              </w:rPr>
              <w:t>183</w:t>
            </w:r>
          </w:p>
        </w:tc>
        <w:tc>
          <w:tcPr>
            <w:tcW w:w="1134" w:type="dxa"/>
            <w:tcBorders>
              <w:top w:val="single" w:sz="4" w:space="0" w:color="auto"/>
              <w:bottom w:val="single" w:sz="4" w:space="0" w:color="auto"/>
            </w:tcBorders>
            <w:noWrap/>
          </w:tcPr>
          <w:p w14:paraId="33D4784E" w14:textId="77777777" w:rsidR="00F96509" w:rsidRPr="005E08A9" w:rsidRDefault="00F96509" w:rsidP="00CE4E4E">
            <w:pPr>
              <w:rPr>
                <w:noProof/>
                <w:color w:val="000000"/>
              </w:rPr>
            </w:pPr>
            <w:r>
              <w:rPr>
                <w:noProof/>
              </w:rPr>
              <w:t>12 %</w:t>
            </w:r>
          </w:p>
        </w:tc>
        <w:tc>
          <w:tcPr>
            <w:tcW w:w="1134" w:type="dxa"/>
            <w:tcBorders>
              <w:top w:val="single" w:sz="4" w:space="0" w:color="auto"/>
              <w:left w:val="nil"/>
              <w:bottom w:val="single" w:sz="4" w:space="0" w:color="auto"/>
              <w:right w:val="single" w:sz="4" w:space="0" w:color="auto"/>
            </w:tcBorders>
            <w:noWrap/>
          </w:tcPr>
          <w:p w14:paraId="791819B4" w14:textId="77777777" w:rsidR="00F96509" w:rsidRPr="005E08A9" w:rsidRDefault="00F96509" w:rsidP="00CE4E4E">
            <w:pPr>
              <w:rPr>
                <w:noProof/>
                <w:color w:val="000000"/>
              </w:rPr>
            </w:pPr>
            <w:r>
              <w:rPr>
                <w:noProof/>
              </w:rPr>
              <w:t>64 %</w:t>
            </w:r>
          </w:p>
        </w:tc>
        <w:tc>
          <w:tcPr>
            <w:tcW w:w="993" w:type="dxa"/>
            <w:tcBorders>
              <w:top w:val="single" w:sz="4" w:space="0" w:color="auto"/>
              <w:left w:val="nil"/>
              <w:bottom w:val="single" w:sz="4" w:space="0" w:color="auto"/>
              <w:right w:val="single" w:sz="4" w:space="0" w:color="auto"/>
            </w:tcBorders>
          </w:tcPr>
          <w:p w14:paraId="2C9F18A3" w14:textId="77777777" w:rsidR="00F96509" w:rsidRPr="005E08A9" w:rsidRDefault="00F96509" w:rsidP="00CE4E4E">
            <w:pPr>
              <w:rPr>
                <w:noProof/>
                <w:color w:val="000000"/>
              </w:rPr>
            </w:pPr>
            <w:r>
              <w:rPr>
                <w:noProof/>
              </w:rPr>
              <w:t>194</w:t>
            </w:r>
          </w:p>
        </w:tc>
        <w:tc>
          <w:tcPr>
            <w:tcW w:w="1134" w:type="dxa"/>
            <w:tcBorders>
              <w:top w:val="single" w:sz="4" w:space="0" w:color="auto"/>
              <w:left w:val="single" w:sz="4" w:space="0" w:color="auto"/>
              <w:bottom w:val="single" w:sz="4" w:space="0" w:color="auto"/>
              <w:right w:val="single" w:sz="4" w:space="0" w:color="auto"/>
            </w:tcBorders>
          </w:tcPr>
          <w:p w14:paraId="6E80DDA2" w14:textId="77777777" w:rsidR="00F96509" w:rsidRPr="005E08A9" w:rsidRDefault="00F96509" w:rsidP="00CE4E4E">
            <w:pPr>
              <w:rPr>
                <w:noProof/>
                <w:color w:val="000000"/>
              </w:rPr>
            </w:pPr>
            <w:r>
              <w:rPr>
                <w:noProof/>
              </w:rPr>
              <w:t>820</w:t>
            </w:r>
          </w:p>
        </w:tc>
        <w:tc>
          <w:tcPr>
            <w:tcW w:w="1417" w:type="dxa"/>
            <w:tcBorders>
              <w:top w:val="single" w:sz="4" w:space="0" w:color="auto"/>
              <w:left w:val="single" w:sz="4" w:space="0" w:color="auto"/>
              <w:bottom w:val="single" w:sz="4" w:space="0" w:color="auto"/>
              <w:right w:val="single" w:sz="4" w:space="0" w:color="auto"/>
            </w:tcBorders>
          </w:tcPr>
          <w:p w14:paraId="60C3876F" w14:textId="77777777" w:rsidR="00F96509" w:rsidRPr="005E08A9" w:rsidRDefault="00F96509" w:rsidP="00CE4E4E">
            <w:pPr>
              <w:rPr>
                <w:noProof/>
                <w:color w:val="000000"/>
              </w:rPr>
            </w:pPr>
            <w:r>
              <w:rPr>
                <w:noProof/>
              </w:rPr>
              <w:t>4,2</w:t>
            </w:r>
          </w:p>
        </w:tc>
      </w:tr>
      <w:tr w:rsidR="005C3BF9" w:rsidRPr="005E08A9" w14:paraId="5B46AB4E" w14:textId="77777777">
        <w:trPr>
          <w:trHeight w:val="246"/>
        </w:trPr>
        <w:tc>
          <w:tcPr>
            <w:tcW w:w="2553" w:type="dxa"/>
            <w:tcBorders>
              <w:top w:val="single" w:sz="4" w:space="0" w:color="auto"/>
              <w:bottom w:val="single" w:sz="4" w:space="0" w:color="auto"/>
            </w:tcBorders>
            <w:noWrap/>
            <w:vAlign w:val="bottom"/>
            <w:hideMark/>
          </w:tcPr>
          <w:p w14:paraId="678B6C70" w14:textId="06DF115A" w:rsidR="00F96509" w:rsidRPr="005E08A9" w:rsidRDefault="00F96509" w:rsidP="00CE4E4E">
            <w:pPr>
              <w:rPr>
                <w:noProof/>
                <w:color w:val="000000"/>
              </w:rPr>
            </w:pPr>
            <w:r>
              <w:rPr>
                <w:noProof/>
                <w:color w:val="000000"/>
              </w:rPr>
              <w:t>Pôle 4 – Numérique, industrie et espace</w:t>
            </w:r>
          </w:p>
        </w:tc>
        <w:tc>
          <w:tcPr>
            <w:tcW w:w="992" w:type="dxa"/>
            <w:tcBorders>
              <w:top w:val="single" w:sz="4" w:space="0" w:color="auto"/>
              <w:bottom w:val="single" w:sz="4" w:space="0" w:color="auto"/>
            </w:tcBorders>
            <w:noWrap/>
          </w:tcPr>
          <w:p w14:paraId="6ACBF48E" w14:textId="77777777" w:rsidR="00F96509" w:rsidRPr="005E08A9" w:rsidRDefault="00F96509" w:rsidP="00CE4E4E">
            <w:pPr>
              <w:rPr>
                <w:noProof/>
                <w:color w:val="000000"/>
              </w:rPr>
            </w:pPr>
            <w:r>
              <w:rPr>
                <w:noProof/>
              </w:rPr>
              <w:t>6 947</w:t>
            </w:r>
          </w:p>
        </w:tc>
        <w:tc>
          <w:tcPr>
            <w:tcW w:w="850" w:type="dxa"/>
            <w:tcBorders>
              <w:top w:val="single" w:sz="4" w:space="0" w:color="auto"/>
              <w:bottom w:val="single" w:sz="4" w:space="0" w:color="auto"/>
            </w:tcBorders>
            <w:noWrap/>
          </w:tcPr>
          <w:p w14:paraId="2D71CCB2" w14:textId="77777777" w:rsidR="00F96509" w:rsidRPr="005E08A9" w:rsidRDefault="00F96509" w:rsidP="00CE4E4E">
            <w:pPr>
              <w:rPr>
                <w:noProof/>
                <w:color w:val="000000"/>
              </w:rPr>
            </w:pPr>
            <w:r>
              <w:rPr>
                <w:noProof/>
              </w:rPr>
              <w:t>1287</w:t>
            </w:r>
          </w:p>
        </w:tc>
        <w:tc>
          <w:tcPr>
            <w:tcW w:w="1134" w:type="dxa"/>
            <w:tcBorders>
              <w:top w:val="single" w:sz="4" w:space="0" w:color="auto"/>
              <w:bottom w:val="single" w:sz="4" w:space="0" w:color="auto"/>
            </w:tcBorders>
            <w:noWrap/>
          </w:tcPr>
          <w:p w14:paraId="01C68BBB" w14:textId="77777777" w:rsidR="00F96509" w:rsidRPr="005E08A9" w:rsidRDefault="00F96509" w:rsidP="00CE4E4E">
            <w:pPr>
              <w:rPr>
                <w:noProof/>
                <w:color w:val="000000"/>
              </w:rPr>
            </w:pPr>
            <w:r>
              <w:rPr>
                <w:noProof/>
              </w:rPr>
              <w:t>19 %</w:t>
            </w:r>
          </w:p>
        </w:tc>
        <w:tc>
          <w:tcPr>
            <w:tcW w:w="1134" w:type="dxa"/>
            <w:tcBorders>
              <w:top w:val="single" w:sz="4" w:space="0" w:color="auto"/>
              <w:left w:val="nil"/>
              <w:bottom w:val="single" w:sz="4" w:space="0" w:color="auto"/>
              <w:right w:val="single" w:sz="4" w:space="0" w:color="auto"/>
            </w:tcBorders>
            <w:noWrap/>
          </w:tcPr>
          <w:p w14:paraId="38EB27DA" w14:textId="77777777" w:rsidR="00F96509" w:rsidRPr="005E08A9" w:rsidRDefault="00F96509" w:rsidP="00CE4E4E">
            <w:pPr>
              <w:rPr>
                <w:noProof/>
                <w:color w:val="000000"/>
              </w:rPr>
            </w:pPr>
            <w:r>
              <w:rPr>
                <w:noProof/>
              </w:rPr>
              <w:t>74 %</w:t>
            </w:r>
          </w:p>
        </w:tc>
        <w:tc>
          <w:tcPr>
            <w:tcW w:w="993" w:type="dxa"/>
            <w:tcBorders>
              <w:top w:val="single" w:sz="4" w:space="0" w:color="auto"/>
              <w:left w:val="nil"/>
              <w:bottom w:val="single" w:sz="4" w:space="0" w:color="auto"/>
              <w:right w:val="single" w:sz="4" w:space="0" w:color="auto"/>
            </w:tcBorders>
          </w:tcPr>
          <w:p w14:paraId="3064A267" w14:textId="77777777" w:rsidR="00F96509" w:rsidRPr="005E08A9" w:rsidRDefault="00F96509" w:rsidP="00CE4E4E">
            <w:pPr>
              <w:rPr>
                <w:noProof/>
                <w:color w:val="000000"/>
              </w:rPr>
            </w:pPr>
            <w:r>
              <w:rPr>
                <w:noProof/>
              </w:rPr>
              <w:t>1169</w:t>
            </w:r>
          </w:p>
        </w:tc>
        <w:tc>
          <w:tcPr>
            <w:tcW w:w="1134" w:type="dxa"/>
            <w:tcBorders>
              <w:top w:val="single" w:sz="4" w:space="0" w:color="auto"/>
              <w:left w:val="single" w:sz="4" w:space="0" w:color="auto"/>
              <w:bottom w:val="single" w:sz="4" w:space="0" w:color="auto"/>
              <w:right w:val="single" w:sz="4" w:space="0" w:color="auto"/>
            </w:tcBorders>
          </w:tcPr>
          <w:p w14:paraId="1FB7097C" w14:textId="77777777" w:rsidR="00F96509" w:rsidRPr="005E08A9" w:rsidRDefault="00F96509" w:rsidP="00CE4E4E">
            <w:pPr>
              <w:rPr>
                <w:noProof/>
                <w:color w:val="000000"/>
              </w:rPr>
            </w:pPr>
            <w:r>
              <w:rPr>
                <w:noProof/>
              </w:rPr>
              <w:t>8 426</w:t>
            </w:r>
          </w:p>
        </w:tc>
        <w:tc>
          <w:tcPr>
            <w:tcW w:w="1417" w:type="dxa"/>
            <w:tcBorders>
              <w:top w:val="single" w:sz="4" w:space="0" w:color="auto"/>
              <w:left w:val="single" w:sz="4" w:space="0" w:color="auto"/>
              <w:bottom w:val="single" w:sz="4" w:space="0" w:color="auto"/>
              <w:right w:val="single" w:sz="4" w:space="0" w:color="auto"/>
            </w:tcBorders>
          </w:tcPr>
          <w:p w14:paraId="4BF39923" w14:textId="77777777" w:rsidR="00F96509" w:rsidRPr="005E08A9" w:rsidRDefault="00F96509" w:rsidP="00CE4E4E">
            <w:pPr>
              <w:rPr>
                <w:noProof/>
                <w:color w:val="000000"/>
              </w:rPr>
            </w:pPr>
            <w:r>
              <w:rPr>
                <w:noProof/>
              </w:rPr>
              <w:t>7,2</w:t>
            </w:r>
          </w:p>
        </w:tc>
      </w:tr>
      <w:tr w:rsidR="005C3BF9" w:rsidRPr="005E08A9" w14:paraId="40856CC0" w14:textId="77777777">
        <w:trPr>
          <w:trHeight w:val="246"/>
        </w:trPr>
        <w:tc>
          <w:tcPr>
            <w:tcW w:w="2553" w:type="dxa"/>
            <w:tcBorders>
              <w:top w:val="single" w:sz="4" w:space="0" w:color="auto"/>
              <w:bottom w:val="single" w:sz="4" w:space="0" w:color="auto"/>
            </w:tcBorders>
            <w:noWrap/>
            <w:vAlign w:val="bottom"/>
            <w:hideMark/>
          </w:tcPr>
          <w:p w14:paraId="4126B623" w14:textId="6AD081AA" w:rsidR="00F96509" w:rsidRPr="005E08A9" w:rsidRDefault="00F96509" w:rsidP="00CE4E4E">
            <w:pPr>
              <w:rPr>
                <w:noProof/>
                <w:color w:val="000000"/>
              </w:rPr>
            </w:pPr>
            <w:r>
              <w:rPr>
                <w:noProof/>
                <w:color w:val="000000"/>
              </w:rPr>
              <w:t>Pôle 5 – Climat, énergie et mobilité (y compris la facilité du NBE)</w:t>
            </w:r>
          </w:p>
        </w:tc>
        <w:tc>
          <w:tcPr>
            <w:tcW w:w="992" w:type="dxa"/>
            <w:tcBorders>
              <w:top w:val="single" w:sz="4" w:space="0" w:color="auto"/>
              <w:bottom w:val="single" w:sz="4" w:space="0" w:color="auto"/>
            </w:tcBorders>
            <w:noWrap/>
          </w:tcPr>
          <w:p w14:paraId="05263EA6" w14:textId="77777777" w:rsidR="00F96509" w:rsidRPr="005E08A9" w:rsidRDefault="00F96509" w:rsidP="00CE4E4E">
            <w:pPr>
              <w:rPr>
                <w:noProof/>
                <w:color w:val="000000"/>
              </w:rPr>
            </w:pPr>
            <w:r>
              <w:rPr>
                <w:noProof/>
              </w:rPr>
              <w:t>7 093</w:t>
            </w:r>
          </w:p>
        </w:tc>
        <w:tc>
          <w:tcPr>
            <w:tcW w:w="850" w:type="dxa"/>
            <w:tcBorders>
              <w:top w:val="single" w:sz="4" w:space="0" w:color="auto"/>
              <w:bottom w:val="single" w:sz="4" w:space="0" w:color="auto"/>
            </w:tcBorders>
            <w:noWrap/>
          </w:tcPr>
          <w:p w14:paraId="273E294B" w14:textId="77777777" w:rsidR="00F96509" w:rsidRPr="005E08A9" w:rsidRDefault="00F96509" w:rsidP="00CE4E4E">
            <w:pPr>
              <w:rPr>
                <w:noProof/>
                <w:color w:val="000000"/>
              </w:rPr>
            </w:pPr>
            <w:r>
              <w:rPr>
                <w:noProof/>
              </w:rPr>
              <w:t>1264</w:t>
            </w:r>
          </w:p>
        </w:tc>
        <w:tc>
          <w:tcPr>
            <w:tcW w:w="1134" w:type="dxa"/>
            <w:tcBorders>
              <w:top w:val="single" w:sz="4" w:space="0" w:color="auto"/>
              <w:bottom w:val="single" w:sz="4" w:space="0" w:color="auto"/>
            </w:tcBorders>
            <w:noWrap/>
          </w:tcPr>
          <w:p w14:paraId="16C2E48F" w14:textId="77777777" w:rsidR="00F96509" w:rsidRPr="005E08A9" w:rsidRDefault="00F96509" w:rsidP="00CE4E4E">
            <w:pPr>
              <w:rPr>
                <w:noProof/>
                <w:color w:val="000000"/>
              </w:rPr>
            </w:pPr>
            <w:r>
              <w:rPr>
                <w:noProof/>
              </w:rPr>
              <w:t>18 %</w:t>
            </w:r>
          </w:p>
        </w:tc>
        <w:tc>
          <w:tcPr>
            <w:tcW w:w="1134" w:type="dxa"/>
            <w:tcBorders>
              <w:top w:val="single" w:sz="4" w:space="0" w:color="auto"/>
              <w:left w:val="nil"/>
              <w:bottom w:val="single" w:sz="4" w:space="0" w:color="auto"/>
              <w:right w:val="single" w:sz="4" w:space="0" w:color="auto"/>
            </w:tcBorders>
            <w:noWrap/>
          </w:tcPr>
          <w:p w14:paraId="4DC71246" w14:textId="77777777" w:rsidR="00F96509" w:rsidRPr="005E08A9" w:rsidRDefault="00F96509" w:rsidP="00CE4E4E">
            <w:pPr>
              <w:rPr>
                <w:noProof/>
                <w:color w:val="000000"/>
              </w:rPr>
            </w:pPr>
            <w:r>
              <w:rPr>
                <w:noProof/>
              </w:rPr>
              <w:t>61 %</w:t>
            </w:r>
          </w:p>
        </w:tc>
        <w:tc>
          <w:tcPr>
            <w:tcW w:w="993" w:type="dxa"/>
            <w:tcBorders>
              <w:top w:val="single" w:sz="4" w:space="0" w:color="auto"/>
              <w:left w:val="nil"/>
              <w:bottom w:val="single" w:sz="4" w:space="0" w:color="auto"/>
              <w:right w:val="single" w:sz="4" w:space="0" w:color="auto"/>
            </w:tcBorders>
          </w:tcPr>
          <w:p w14:paraId="6914D67A" w14:textId="77777777" w:rsidR="00F96509" w:rsidRPr="005E08A9" w:rsidRDefault="00F96509" w:rsidP="00CE4E4E">
            <w:pPr>
              <w:rPr>
                <w:noProof/>
                <w:color w:val="000000"/>
              </w:rPr>
            </w:pPr>
            <w:r>
              <w:rPr>
                <w:noProof/>
              </w:rPr>
              <w:t>1311</w:t>
            </w:r>
          </w:p>
        </w:tc>
        <w:tc>
          <w:tcPr>
            <w:tcW w:w="1134" w:type="dxa"/>
            <w:tcBorders>
              <w:top w:val="single" w:sz="4" w:space="0" w:color="auto"/>
              <w:left w:val="single" w:sz="4" w:space="0" w:color="auto"/>
              <w:bottom w:val="single" w:sz="4" w:space="0" w:color="auto"/>
              <w:right w:val="single" w:sz="4" w:space="0" w:color="auto"/>
            </w:tcBorders>
          </w:tcPr>
          <w:p w14:paraId="5F74F85C" w14:textId="77777777" w:rsidR="00F96509" w:rsidRPr="005E08A9" w:rsidRDefault="00F96509" w:rsidP="00CE4E4E">
            <w:pPr>
              <w:rPr>
                <w:noProof/>
                <w:color w:val="000000"/>
              </w:rPr>
            </w:pPr>
            <w:r>
              <w:rPr>
                <w:noProof/>
              </w:rPr>
              <w:t>9 135</w:t>
            </w:r>
          </w:p>
        </w:tc>
        <w:tc>
          <w:tcPr>
            <w:tcW w:w="1417" w:type="dxa"/>
            <w:tcBorders>
              <w:top w:val="single" w:sz="4" w:space="0" w:color="auto"/>
              <w:left w:val="single" w:sz="4" w:space="0" w:color="auto"/>
              <w:bottom w:val="single" w:sz="4" w:space="0" w:color="auto"/>
              <w:right w:val="single" w:sz="4" w:space="0" w:color="auto"/>
            </w:tcBorders>
          </w:tcPr>
          <w:p w14:paraId="2568CCCC" w14:textId="77777777" w:rsidR="00F96509" w:rsidRPr="005E08A9" w:rsidRDefault="00F96509" w:rsidP="00CE4E4E">
            <w:pPr>
              <w:rPr>
                <w:noProof/>
                <w:color w:val="000000"/>
              </w:rPr>
            </w:pPr>
            <w:r>
              <w:rPr>
                <w:noProof/>
              </w:rPr>
              <w:t>7</w:t>
            </w:r>
          </w:p>
        </w:tc>
      </w:tr>
      <w:tr w:rsidR="005C3BF9" w:rsidRPr="005E08A9" w14:paraId="08100DC2" w14:textId="77777777">
        <w:trPr>
          <w:trHeight w:val="246"/>
        </w:trPr>
        <w:tc>
          <w:tcPr>
            <w:tcW w:w="2553" w:type="dxa"/>
            <w:tcBorders>
              <w:top w:val="single" w:sz="4" w:space="0" w:color="auto"/>
              <w:bottom w:val="single" w:sz="4" w:space="0" w:color="auto"/>
            </w:tcBorders>
            <w:noWrap/>
            <w:vAlign w:val="bottom"/>
            <w:hideMark/>
          </w:tcPr>
          <w:p w14:paraId="59A9D5E5" w14:textId="00C852A0" w:rsidR="00F96509" w:rsidRPr="005E08A9" w:rsidRDefault="00F96509" w:rsidP="00CE4E4E">
            <w:pPr>
              <w:rPr>
                <w:noProof/>
                <w:color w:val="000000"/>
              </w:rPr>
            </w:pPr>
            <w:r>
              <w:rPr>
                <w:noProof/>
                <w:color w:val="000000"/>
              </w:rPr>
              <w:t>Pôle 6 – Alimentation, bioéconomie, ressources naturelles, agriculture et environnement</w:t>
            </w:r>
          </w:p>
        </w:tc>
        <w:tc>
          <w:tcPr>
            <w:tcW w:w="992" w:type="dxa"/>
            <w:tcBorders>
              <w:top w:val="single" w:sz="4" w:space="0" w:color="auto"/>
              <w:bottom w:val="single" w:sz="4" w:space="0" w:color="auto"/>
            </w:tcBorders>
            <w:noWrap/>
          </w:tcPr>
          <w:p w14:paraId="637F8B5B" w14:textId="77777777" w:rsidR="00F96509" w:rsidRPr="005E08A9" w:rsidRDefault="00F96509" w:rsidP="00CE4E4E">
            <w:pPr>
              <w:rPr>
                <w:noProof/>
                <w:color w:val="000000"/>
              </w:rPr>
            </w:pPr>
            <w:r>
              <w:rPr>
                <w:noProof/>
              </w:rPr>
              <w:t>4 114</w:t>
            </w:r>
          </w:p>
        </w:tc>
        <w:tc>
          <w:tcPr>
            <w:tcW w:w="850" w:type="dxa"/>
            <w:tcBorders>
              <w:top w:val="single" w:sz="4" w:space="0" w:color="auto"/>
              <w:bottom w:val="single" w:sz="4" w:space="0" w:color="auto"/>
            </w:tcBorders>
            <w:noWrap/>
          </w:tcPr>
          <w:p w14:paraId="2F1201BE" w14:textId="77777777" w:rsidR="00F96509" w:rsidRPr="005E08A9" w:rsidRDefault="00F96509" w:rsidP="00CE4E4E">
            <w:pPr>
              <w:rPr>
                <w:noProof/>
                <w:color w:val="000000"/>
              </w:rPr>
            </w:pPr>
            <w:r>
              <w:rPr>
                <w:noProof/>
              </w:rPr>
              <w:t>845</w:t>
            </w:r>
          </w:p>
        </w:tc>
        <w:tc>
          <w:tcPr>
            <w:tcW w:w="1134" w:type="dxa"/>
            <w:tcBorders>
              <w:top w:val="single" w:sz="4" w:space="0" w:color="auto"/>
              <w:bottom w:val="single" w:sz="4" w:space="0" w:color="auto"/>
            </w:tcBorders>
            <w:noWrap/>
          </w:tcPr>
          <w:p w14:paraId="60D9AE23" w14:textId="77777777" w:rsidR="00F96509" w:rsidRPr="005E08A9" w:rsidRDefault="00F96509" w:rsidP="00CE4E4E">
            <w:pPr>
              <w:rPr>
                <w:noProof/>
                <w:color w:val="000000"/>
              </w:rPr>
            </w:pPr>
            <w:r>
              <w:rPr>
                <w:noProof/>
              </w:rPr>
              <w:t>21 %</w:t>
            </w:r>
          </w:p>
        </w:tc>
        <w:tc>
          <w:tcPr>
            <w:tcW w:w="1134" w:type="dxa"/>
            <w:tcBorders>
              <w:top w:val="single" w:sz="4" w:space="0" w:color="auto"/>
              <w:left w:val="nil"/>
              <w:bottom w:val="single" w:sz="4" w:space="0" w:color="auto"/>
              <w:right w:val="single" w:sz="4" w:space="0" w:color="auto"/>
            </w:tcBorders>
            <w:noWrap/>
          </w:tcPr>
          <w:p w14:paraId="19FA65EF" w14:textId="77777777" w:rsidR="00F96509" w:rsidRPr="005E08A9" w:rsidRDefault="00F96509" w:rsidP="00CE4E4E">
            <w:pPr>
              <w:rPr>
                <w:noProof/>
                <w:color w:val="000000"/>
              </w:rPr>
            </w:pPr>
            <w:r>
              <w:rPr>
                <w:noProof/>
              </w:rPr>
              <w:t>71 %</w:t>
            </w:r>
          </w:p>
        </w:tc>
        <w:tc>
          <w:tcPr>
            <w:tcW w:w="993" w:type="dxa"/>
            <w:tcBorders>
              <w:top w:val="single" w:sz="4" w:space="0" w:color="auto"/>
              <w:left w:val="nil"/>
              <w:bottom w:val="single" w:sz="4" w:space="0" w:color="auto"/>
              <w:right w:val="single" w:sz="4" w:space="0" w:color="auto"/>
            </w:tcBorders>
          </w:tcPr>
          <w:p w14:paraId="362546E9" w14:textId="77777777" w:rsidR="00F96509" w:rsidRPr="005E08A9" w:rsidRDefault="00F96509" w:rsidP="00CE4E4E">
            <w:pPr>
              <w:rPr>
                <w:noProof/>
                <w:color w:val="000000"/>
              </w:rPr>
            </w:pPr>
            <w:r>
              <w:rPr>
                <w:noProof/>
              </w:rPr>
              <w:t>839</w:t>
            </w:r>
          </w:p>
        </w:tc>
        <w:tc>
          <w:tcPr>
            <w:tcW w:w="1134" w:type="dxa"/>
            <w:tcBorders>
              <w:top w:val="single" w:sz="4" w:space="0" w:color="auto"/>
              <w:left w:val="single" w:sz="4" w:space="0" w:color="auto"/>
              <w:bottom w:val="single" w:sz="4" w:space="0" w:color="auto"/>
              <w:right w:val="single" w:sz="4" w:space="0" w:color="auto"/>
            </w:tcBorders>
          </w:tcPr>
          <w:p w14:paraId="4F1E1E41" w14:textId="77777777" w:rsidR="00F96509" w:rsidRPr="005E08A9" w:rsidRDefault="00F96509" w:rsidP="00CE4E4E">
            <w:pPr>
              <w:rPr>
                <w:noProof/>
                <w:color w:val="000000"/>
              </w:rPr>
            </w:pPr>
            <w:r>
              <w:rPr>
                <w:noProof/>
              </w:rPr>
              <w:t>4 938</w:t>
            </w:r>
          </w:p>
        </w:tc>
        <w:tc>
          <w:tcPr>
            <w:tcW w:w="1417" w:type="dxa"/>
            <w:tcBorders>
              <w:top w:val="single" w:sz="4" w:space="0" w:color="auto"/>
              <w:left w:val="single" w:sz="4" w:space="0" w:color="auto"/>
              <w:bottom w:val="single" w:sz="4" w:space="0" w:color="auto"/>
              <w:right w:val="single" w:sz="4" w:space="0" w:color="auto"/>
            </w:tcBorders>
          </w:tcPr>
          <w:p w14:paraId="517B73A3" w14:textId="77777777" w:rsidR="00F96509" w:rsidRPr="005E08A9" w:rsidRDefault="00F96509" w:rsidP="00CE4E4E">
            <w:pPr>
              <w:rPr>
                <w:noProof/>
                <w:color w:val="000000"/>
              </w:rPr>
            </w:pPr>
            <w:r>
              <w:rPr>
                <w:noProof/>
              </w:rPr>
              <w:t>5,9</w:t>
            </w:r>
          </w:p>
        </w:tc>
      </w:tr>
      <w:tr w:rsidR="00456887" w:rsidRPr="005E08A9" w14:paraId="0E28444F" w14:textId="77777777">
        <w:trPr>
          <w:trHeight w:val="246"/>
        </w:trPr>
        <w:tc>
          <w:tcPr>
            <w:tcW w:w="10207" w:type="dxa"/>
            <w:gridSpan w:val="8"/>
            <w:tcBorders>
              <w:top w:val="single" w:sz="4" w:space="0" w:color="auto"/>
              <w:bottom w:val="single" w:sz="4" w:space="0" w:color="auto"/>
              <w:right w:val="single" w:sz="4" w:space="0" w:color="auto"/>
            </w:tcBorders>
            <w:shd w:val="clear" w:color="auto" w:fill="D9D9D9" w:themeFill="background1" w:themeFillShade="D9"/>
            <w:noWrap/>
            <w:vAlign w:val="bottom"/>
          </w:tcPr>
          <w:p w14:paraId="6AEC8146" w14:textId="77777777" w:rsidR="00F96509" w:rsidRPr="005E08A9" w:rsidRDefault="00F96509" w:rsidP="00CE4E4E">
            <w:pPr>
              <w:rPr>
                <w:b/>
                <w:noProof/>
                <w:color w:val="000000"/>
              </w:rPr>
            </w:pPr>
            <w:r>
              <w:rPr>
                <w:b/>
                <w:noProof/>
                <w:color w:val="000000"/>
              </w:rPr>
              <w:t>Pilier III – Europe innovante</w:t>
            </w:r>
          </w:p>
        </w:tc>
      </w:tr>
      <w:tr w:rsidR="005C3BF9" w:rsidRPr="005E08A9" w14:paraId="5899A5E7" w14:textId="77777777">
        <w:trPr>
          <w:trHeight w:val="246"/>
        </w:trPr>
        <w:tc>
          <w:tcPr>
            <w:tcW w:w="2553" w:type="dxa"/>
            <w:tcBorders>
              <w:top w:val="single" w:sz="4" w:space="0" w:color="auto"/>
              <w:bottom w:val="single" w:sz="4" w:space="0" w:color="auto"/>
            </w:tcBorders>
            <w:noWrap/>
            <w:vAlign w:val="bottom"/>
            <w:hideMark/>
          </w:tcPr>
          <w:p w14:paraId="39D13123" w14:textId="20166C10" w:rsidR="00F96509" w:rsidRPr="005E08A9" w:rsidRDefault="00F96509" w:rsidP="00CE4E4E">
            <w:pPr>
              <w:rPr>
                <w:noProof/>
                <w:color w:val="000000"/>
              </w:rPr>
            </w:pPr>
            <w:r>
              <w:rPr>
                <w:noProof/>
                <w:color w:val="000000"/>
              </w:rPr>
              <w:t>Conseil européen de l’innovation (CEI)</w:t>
            </w:r>
          </w:p>
        </w:tc>
        <w:tc>
          <w:tcPr>
            <w:tcW w:w="992" w:type="dxa"/>
            <w:tcBorders>
              <w:top w:val="single" w:sz="4" w:space="0" w:color="auto"/>
              <w:bottom w:val="single" w:sz="4" w:space="0" w:color="auto"/>
            </w:tcBorders>
            <w:noWrap/>
          </w:tcPr>
          <w:p w14:paraId="2956EC86" w14:textId="77777777" w:rsidR="00F96509" w:rsidRPr="005E08A9" w:rsidRDefault="00F96509" w:rsidP="00CE4E4E">
            <w:pPr>
              <w:rPr>
                <w:noProof/>
              </w:rPr>
            </w:pPr>
            <w:r>
              <w:rPr>
                <w:noProof/>
              </w:rPr>
              <w:t>20 340</w:t>
            </w:r>
          </w:p>
        </w:tc>
        <w:tc>
          <w:tcPr>
            <w:tcW w:w="850" w:type="dxa"/>
            <w:tcBorders>
              <w:top w:val="single" w:sz="4" w:space="0" w:color="auto"/>
              <w:bottom w:val="single" w:sz="4" w:space="0" w:color="auto"/>
            </w:tcBorders>
            <w:noWrap/>
          </w:tcPr>
          <w:p w14:paraId="06BC9E3C" w14:textId="77777777" w:rsidR="00F96509" w:rsidRPr="005E08A9" w:rsidRDefault="00F96509" w:rsidP="00CE4E4E">
            <w:pPr>
              <w:rPr>
                <w:noProof/>
              </w:rPr>
            </w:pPr>
            <w:r>
              <w:rPr>
                <w:noProof/>
              </w:rPr>
              <w:t>1 417</w:t>
            </w:r>
          </w:p>
        </w:tc>
        <w:tc>
          <w:tcPr>
            <w:tcW w:w="1134" w:type="dxa"/>
            <w:tcBorders>
              <w:top w:val="single" w:sz="4" w:space="0" w:color="auto"/>
              <w:bottom w:val="single" w:sz="4" w:space="0" w:color="auto"/>
            </w:tcBorders>
            <w:noWrap/>
          </w:tcPr>
          <w:p w14:paraId="0D0F1733" w14:textId="77777777" w:rsidR="00F96509" w:rsidRPr="005E08A9" w:rsidRDefault="00F96509" w:rsidP="00CE4E4E">
            <w:pPr>
              <w:rPr>
                <w:noProof/>
              </w:rPr>
            </w:pPr>
            <w:r>
              <w:rPr>
                <w:noProof/>
              </w:rPr>
              <w:t>7 %</w:t>
            </w:r>
          </w:p>
        </w:tc>
        <w:tc>
          <w:tcPr>
            <w:tcW w:w="1134" w:type="dxa"/>
            <w:tcBorders>
              <w:top w:val="single" w:sz="4" w:space="0" w:color="auto"/>
              <w:left w:val="nil"/>
              <w:bottom w:val="single" w:sz="4" w:space="0" w:color="auto"/>
              <w:right w:val="single" w:sz="4" w:space="0" w:color="auto"/>
            </w:tcBorders>
            <w:noWrap/>
          </w:tcPr>
          <w:p w14:paraId="16F9CA3C" w14:textId="77777777" w:rsidR="00F96509" w:rsidRPr="005E08A9" w:rsidRDefault="00F96509" w:rsidP="00CE4E4E">
            <w:pPr>
              <w:rPr>
                <w:noProof/>
              </w:rPr>
            </w:pPr>
            <w:r>
              <w:rPr>
                <w:noProof/>
              </w:rPr>
              <w:t>33 %</w:t>
            </w:r>
          </w:p>
        </w:tc>
        <w:tc>
          <w:tcPr>
            <w:tcW w:w="993" w:type="dxa"/>
            <w:tcBorders>
              <w:top w:val="single" w:sz="4" w:space="0" w:color="auto"/>
              <w:left w:val="nil"/>
              <w:bottom w:val="single" w:sz="4" w:space="0" w:color="auto"/>
              <w:right w:val="single" w:sz="4" w:space="0" w:color="auto"/>
            </w:tcBorders>
          </w:tcPr>
          <w:p w14:paraId="07D016F3" w14:textId="77777777" w:rsidR="00F96509" w:rsidRPr="005E08A9" w:rsidRDefault="00F96509" w:rsidP="00CE4E4E">
            <w:pPr>
              <w:rPr>
                <w:noProof/>
              </w:rPr>
            </w:pPr>
            <w:r>
              <w:rPr>
                <w:noProof/>
              </w:rPr>
              <w:t>1 330</w:t>
            </w:r>
          </w:p>
        </w:tc>
        <w:tc>
          <w:tcPr>
            <w:tcW w:w="1134" w:type="dxa"/>
            <w:tcBorders>
              <w:top w:val="single" w:sz="4" w:space="0" w:color="auto"/>
              <w:left w:val="single" w:sz="4" w:space="0" w:color="auto"/>
              <w:bottom w:val="single" w:sz="4" w:space="0" w:color="auto"/>
              <w:right w:val="single" w:sz="4" w:space="0" w:color="auto"/>
            </w:tcBorders>
          </w:tcPr>
          <w:p w14:paraId="550D0FC3" w14:textId="77777777" w:rsidR="00F96509" w:rsidRPr="005E08A9" w:rsidRDefault="00F96509" w:rsidP="00CE4E4E">
            <w:pPr>
              <w:rPr>
                <w:noProof/>
              </w:rPr>
            </w:pPr>
            <w:r>
              <w:rPr>
                <w:noProof/>
              </w:rPr>
              <w:t>3 532</w:t>
            </w:r>
          </w:p>
        </w:tc>
        <w:tc>
          <w:tcPr>
            <w:tcW w:w="1417" w:type="dxa"/>
            <w:tcBorders>
              <w:top w:val="single" w:sz="4" w:space="0" w:color="auto"/>
              <w:left w:val="single" w:sz="4" w:space="0" w:color="auto"/>
              <w:bottom w:val="single" w:sz="4" w:space="0" w:color="auto"/>
              <w:right w:val="single" w:sz="4" w:space="0" w:color="auto"/>
            </w:tcBorders>
          </w:tcPr>
          <w:p w14:paraId="7122A179" w14:textId="77777777" w:rsidR="00F96509" w:rsidRPr="005E08A9" w:rsidRDefault="00F96509" w:rsidP="00CE4E4E">
            <w:pPr>
              <w:rPr>
                <w:noProof/>
              </w:rPr>
            </w:pPr>
            <w:r>
              <w:rPr>
                <w:noProof/>
              </w:rPr>
              <w:t>2,7</w:t>
            </w:r>
          </w:p>
        </w:tc>
      </w:tr>
      <w:tr w:rsidR="005C3BF9" w:rsidRPr="005E08A9" w14:paraId="35137C7C" w14:textId="77777777">
        <w:trPr>
          <w:trHeight w:val="246"/>
        </w:trPr>
        <w:tc>
          <w:tcPr>
            <w:tcW w:w="2553" w:type="dxa"/>
            <w:tcBorders>
              <w:top w:val="single" w:sz="4" w:space="0" w:color="auto"/>
              <w:bottom w:val="single" w:sz="4" w:space="0" w:color="auto"/>
            </w:tcBorders>
            <w:noWrap/>
            <w:vAlign w:val="bottom"/>
            <w:hideMark/>
          </w:tcPr>
          <w:p w14:paraId="197E6E01" w14:textId="77777777" w:rsidR="00F96509" w:rsidRPr="005E08A9" w:rsidRDefault="00F96509" w:rsidP="00CE4E4E">
            <w:pPr>
              <w:rPr>
                <w:noProof/>
                <w:color w:val="000000"/>
              </w:rPr>
            </w:pPr>
            <w:r>
              <w:rPr>
                <w:noProof/>
                <w:color w:val="000000"/>
              </w:rPr>
              <w:t>Écosystèmes européens d’innovation</w:t>
            </w:r>
          </w:p>
        </w:tc>
        <w:tc>
          <w:tcPr>
            <w:tcW w:w="992" w:type="dxa"/>
            <w:tcBorders>
              <w:top w:val="single" w:sz="4" w:space="0" w:color="auto"/>
              <w:bottom w:val="single" w:sz="4" w:space="0" w:color="auto"/>
            </w:tcBorders>
            <w:noWrap/>
          </w:tcPr>
          <w:p w14:paraId="224EE319" w14:textId="77777777" w:rsidR="00F96509" w:rsidRPr="005E08A9" w:rsidRDefault="00F96509" w:rsidP="00CE4E4E">
            <w:pPr>
              <w:rPr>
                <w:noProof/>
              </w:rPr>
            </w:pPr>
            <w:r>
              <w:rPr>
                <w:noProof/>
              </w:rPr>
              <w:t>1 502</w:t>
            </w:r>
          </w:p>
        </w:tc>
        <w:tc>
          <w:tcPr>
            <w:tcW w:w="850" w:type="dxa"/>
            <w:tcBorders>
              <w:top w:val="single" w:sz="4" w:space="0" w:color="auto"/>
              <w:bottom w:val="single" w:sz="4" w:space="0" w:color="auto"/>
            </w:tcBorders>
            <w:noWrap/>
          </w:tcPr>
          <w:p w14:paraId="476AFB8A" w14:textId="77777777" w:rsidR="00F96509" w:rsidRPr="005E08A9" w:rsidRDefault="00F96509" w:rsidP="00CE4E4E">
            <w:pPr>
              <w:rPr>
                <w:noProof/>
              </w:rPr>
            </w:pPr>
            <w:r>
              <w:rPr>
                <w:noProof/>
              </w:rPr>
              <w:t>275</w:t>
            </w:r>
          </w:p>
        </w:tc>
        <w:tc>
          <w:tcPr>
            <w:tcW w:w="1134" w:type="dxa"/>
            <w:tcBorders>
              <w:top w:val="single" w:sz="4" w:space="0" w:color="auto"/>
              <w:bottom w:val="single" w:sz="4" w:space="0" w:color="auto"/>
            </w:tcBorders>
            <w:noWrap/>
          </w:tcPr>
          <w:p w14:paraId="6E40C595" w14:textId="77777777" w:rsidR="00F96509" w:rsidRPr="005E08A9" w:rsidRDefault="00F96509" w:rsidP="00CE4E4E">
            <w:pPr>
              <w:rPr>
                <w:noProof/>
              </w:rPr>
            </w:pPr>
            <w:r>
              <w:rPr>
                <w:noProof/>
              </w:rPr>
              <w:t>18 %</w:t>
            </w:r>
          </w:p>
        </w:tc>
        <w:tc>
          <w:tcPr>
            <w:tcW w:w="1134" w:type="dxa"/>
            <w:tcBorders>
              <w:top w:val="single" w:sz="4" w:space="0" w:color="auto"/>
              <w:left w:val="nil"/>
              <w:bottom w:val="single" w:sz="4" w:space="0" w:color="auto"/>
              <w:right w:val="single" w:sz="4" w:space="0" w:color="auto"/>
            </w:tcBorders>
            <w:noWrap/>
          </w:tcPr>
          <w:p w14:paraId="45E8C6E9" w14:textId="77777777" w:rsidR="00F96509" w:rsidRPr="005E08A9" w:rsidRDefault="00F96509" w:rsidP="00CE4E4E">
            <w:pPr>
              <w:rPr>
                <w:noProof/>
              </w:rPr>
            </w:pPr>
            <w:r>
              <w:rPr>
                <w:noProof/>
              </w:rPr>
              <w:t>58 %</w:t>
            </w:r>
          </w:p>
        </w:tc>
        <w:tc>
          <w:tcPr>
            <w:tcW w:w="993" w:type="dxa"/>
            <w:tcBorders>
              <w:top w:val="single" w:sz="4" w:space="0" w:color="auto"/>
              <w:left w:val="nil"/>
              <w:bottom w:val="single" w:sz="4" w:space="0" w:color="auto"/>
              <w:right w:val="single" w:sz="4" w:space="0" w:color="auto"/>
            </w:tcBorders>
          </w:tcPr>
          <w:p w14:paraId="0E23B423" w14:textId="77777777" w:rsidR="00F96509" w:rsidRPr="005E08A9" w:rsidRDefault="00F96509" w:rsidP="00CE4E4E">
            <w:pPr>
              <w:rPr>
                <w:noProof/>
              </w:rPr>
            </w:pPr>
            <w:r>
              <w:rPr>
                <w:noProof/>
              </w:rPr>
              <w:t>282</w:t>
            </w:r>
          </w:p>
        </w:tc>
        <w:tc>
          <w:tcPr>
            <w:tcW w:w="1134" w:type="dxa"/>
            <w:tcBorders>
              <w:top w:val="single" w:sz="4" w:space="0" w:color="auto"/>
              <w:left w:val="single" w:sz="4" w:space="0" w:color="auto"/>
              <w:bottom w:val="single" w:sz="4" w:space="0" w:color="auto"/>
              <w:right w:val="single" w:sz="4" w:space="0" w:color="auto"/>
            </w:tcBorders>
          </w:tcPr>
          <w:p w14:paraId="0AC24DE1" w14:textId="77777777" w:rsidR="00F96509" w:rsidRPr="005E08A9" w:rsidRDefault="00F96509" w:rsidP="00CE4E4E">
            <w:pPr>
              <w:rPr>
                <w:noProof/>
              </w:rPr>
            </w:pPr>
            <w:r>
              <w:rPr>
                <w:noProof/>
              </w:rPr>
              <w:t>304</w:t>
            </w:r>
          </w:p>
        </w:tc>
        <w:tc>
          <w:tcPr>
            <w:tcW w:w="1417" w:type="dxa"/>
            <w:tcBorders>
              <w:top w:val="single" w:sz="4" w:space="0" w:color="auto"/>
              <w:left w:val="single" w:sz="4" w:space="0" w:color="auto"/>
              <w:bottom w:val="single" w:sz="4" w:space="0" w:color="auto"/>
              <w:right w:val="single" w:sz="4" w:space="0" w:color="auto"/>
            </w:tcBorders>
          </w:tcPr>
          <w:p w14:paraId="5B3255D4" w14:textId="77777777" w:rsidR="00F96509" w:rsidRPr="005E08A9" w:rsidRDefault="00F96509" w:rsidP="00CE4E4E">
            <w:pPr>
              <w:rPr>
                <w:noProof/>
              </w:rPr>
            </w:pPr>
            <w:r>
              <w:rPr>
                <w:noProof/>
              </w:rPr>
              <w:t>1,1</w:t>
            </w:r>
          </w:p>
        </w:tc>
      </w:tr>
      <w:tr w:rsidR="005C3BF9" w:rsidRPr="005E08A9" w14:paraId="0493E4B9" w14:textId="77777777">
        <w:trPr>
          <w:trHeight w:val="246"/>
        </w:trPr>
        <w:tc>
          <w:tcPr>
            <w:tcW w:w="2553" w:type="dxa"/>
            <w:tcBorders>
              <w:top w:val="single" w:sz="4" w:space="0" w:color="auto"/>
              <w:bottom w:val="single" w:sz="4" w:space="0" w:color="auto"/>
            </w:tcBorders>
            <w:noWrap/>
            <w:vAlign w:val="bottom"/>
          </w:tcPr>
          <w:p w14:paraId="479B6C0D" w14:textId="173C748A" w:rsidR="00F96509" w:rsidRPr="005E08A9" w:rsidRDefault="00F96509" w:rsidP="00CE4E4E">
            <w:pPr>
              <w:rPr>
                <w:noProof/>
                <w:color w:val="000000"/>
              </w:rPr>
            </w:pPr>
            <w:r>
              <w:rPr>
                <w:noProof/>
                <w:color w:val="000000"/>
              </w:rPr>
              <w:t>Institut européen d’innovation et de technologie (EIT)</w:t>
            </w:r>
            <w:r>
              <w:rPr>
                <w:rStyle w:val="FootnoteReference"/>
                <w:noProof/>
                <w:color w:val="000000"/>
              </w:rPr>
              <w:footnoteReference w:id="5"/>
            </w:r>
          </w:p>
        </w:tc>
        <w:tc>
          <w:tcPr>
            <w:tcW w:w="992" w:type="dxa"/>
            <w:tcBorders>
              <w:top w:val="single" w:sz="4" w:space="0" w:color="auto"/>
              <w:bottom w:val="single" w:sz="4" w:space="0" w:color="auto"/>
            </w:tcBorders>
            <w:noWrap/>
          </w:tcPr>
          <w:p w14:paraId="308D01BF" w14:textId="77777777" w:rsidR="00F96509" w:rsidRPr="005E08A9" w:rsidDel="009C76E0" w:rsidRDefault="00F96509" w:rsidP="00CE4E4E">
            <w:pPr>
              <w:rPr>
                <w:noProof/>
              </w:rPr>
            </w:pPr>
            <w:r>
              <w:rPr>
                <w:noProof/>
              </w:rPr>
              <w:t>40</w:t>
            </w:r>
          </w:p>
        </w:tc>
        <w:tc>
          <w:tcPr>
            <w:tcW w:w="850" w:type="dxa"/>
            <w:tcBorders>
              <w:top w:val="single" w:sz="4" w:space="0" w:color="auto"/>
              <w:bottom w:val="single" w:sz="4" w:space="0" w:color="auto"/>
            </w:tcBorders>
            <w:noWrap/>
          </w:tcPr>
          <w:p w14:paraId="2C88B9C1" w14:textId="77777777" w:rsidR="00F96509" w:rsidRPr="005E08A9" w:rsidRDefault="00F96509" w:rsidP="00CE4E4E">
            <w:pPr>
              <w:rPr>
                <w:noProof/>
              </w:rPr>
            </w:pPr>
            <w:r>
              <w:rPr>
                <w:noProof/>
              </w:rPr>
              <w:t>36</w:t>
            </w:r>
          </w:p>
        </w:tc>
        <w:tc>
          <w:tcPr>
            <w:tcW w:w="1134" w:type="dxa"/>
            <w:tcBorders>
              <w:top w:val="single" w:sz="4" w:space="0" w:color="auto"/>
              <w:bottom w:val="single" w:sz="4" w:space="0" w:color="auto"/>
            </w:tcBorders>
            <w:noWrap/>
          </w:tcPr>
          <w:p w14:paraId="144AF1E4" w14:textId="77777777" w:rsidR="00F96509" w:rsidRPr="005E08A9" w:rsidRDefault="00F96509" w:rsidP="00CE4E4E">
            <w:pPr>
              <w:rPr>
                <w:noProof/>
              </w:rPr>
            </w:pPr>
            <w:r>
              <w:rPr>
                <w:noProof/>
              </w:rPr>
              <w:t>90 %</w:t>
            </w:r>
          </w:p>
        </w:tc>
        <w:tc>
          <w:tcPr>
            <w:tcW w:w="1134" w:type="dxa"/>
            <w:tcBorders>
              <w:top w:val="single" w:sz="4" w:space="0" w:color="auto"/>
              <w:left w:val="nil"/>
              <w:bottom w:val="single" w:sz="4" w:space="0" w:color="auto"/>
              <w:right w:val="single" w:sz="4" w:space="0" w:color="auto"/>
            </w:tcBorders>
            <w:noWrap/>
          </w:tcPr>
          <w:p w14:paraId="1A2E63F7" w14:textId="77777777" w:rsidR="00F96509" w:rsidRPr="005E08A9" w:rsidRDefault="00F96509" w:rsidP="00CE4E4E">
            <w:pPr>
              <w:rPr>
                <w:noProof/>
              </w:rPr>
            </w:pPr>
            <w:r>
              <w:rPr>
                <w:noProof/>
              </w:rPr>
              <w:t>100 %</w:t>
            </w:r>
          </w:p>
        </w:tc>
        <w:tc>
          <w:tcPr>
            <w:tcW w:w="993" w:type="dxa"/>
            <w:tcBorders>
              <w:top w:val="single" w:sz="4" w:space="0" w:color="auto"/>
              <w:left w:val="nil"/>
              <w:bottom w:val="single" w:sz="4" w:space="0" w:color="auto"/>
              <w:right w:val="single" w:sz="4" w:space="0" w:color="auto"/>
            </w:tcBorders>
          </w:tcPr>
          <w:p w14:paraId="00BDADB0" w14:textId="77777777" w:rsidR="00F96509" w:rsidRPr="005E08A9" w:rsidRDefault="00F96509" w:rsidP="00CE4E4E">
            <w:pPr>
              <w:rPr>
                <w:noProof/>
              </w:rPr>
            </w:pPr>
            <w:r>
              <w:rPr>
                <w:noProof/>
              </w:rPr>
              <w:t>35</w:t>
            </w:r>
          </w:p>
        </w:tc>
        <w:tc>
          <w:tcPr>
            <w:tcW w:w="1134" w:type="dxa"/>
            <w:tcBorders>
              <w:top w:val="single" w:sz="4" w:space="0" w:color="auto"/>
              <w:left w:val="single" w:sz="4" w:space="0" w:color="auto"/>
              <w:bottom w:val="single" w:sz="4" w:space="0" w:color="auto"/>
              <w:right w:val="single" w:sz="4" w:space="0" w:color="auto"/>
            </w:tcBorders>
          </w:tcPr>
          <w:p w14:paraId="07BCD9D6" w14:textId="77777777" w:rsidR="00F96509" w:rsidRPr="005E08A9" w:rsidRDefault="00F96509" w:rsidP="00CE4E4E">
            <w:pPr>
              <w:rPr>
                <w:noProof/>
              </w:rPr>
            </w:pPr>
            <w:r>
              <w:rPr>
                <w:noProof/>
              </w:rPr>
              <w:t>2 115</w:t>
            </w:r>
          </w:p>
        </w:tc>
        <w:tc>
          <w:tcPr>
            <w:tcW w:w="1417" w:type="dxa"/>
            <w:tcBorders>
              <w:top w:val="single" w:sz="4" w:space="0" w:color="auto"/>
              <w:left w:val="single" w:sz="4" w:space="0" w:color="auto"/>
              <w:bottom w:val="single" w:sz="4" w:space="0" w:color="auto"/>
              <w:right w:val="single" w:sz="4" w:space="0" w:color="auto"/>
            </w:tcBorders>
          </w:tcPr>
          <w:p w14:paraId="72FD9040" w14:textId="77777777" w:rsidR="00F96509" w:rsidRPr="005E08A9" w:rsidRDefault="00F96509" w:rsidP="00CE4E4E">
            <w:pPr>
              <w:rPr>
                <w:noProof/>
              </w:rPr>
            </w:pPr>
            <w:r>
              <w:rPr>
                <w:noProof/>
              </w:rPr>
              <w:t>60,4</w:t>
            </w:r>
          </w:p>
        </w:tc>
      </w:tr>
      <w:tr w:rsidR="00456887" w:rsidRPr="005E08A9" w14:paraId="5A5C21BF" w14:textId="77777777">
        <w:trPr>
          <w:trHeight w:val="246"/>
        </w:trPr>
        <w:tc>
          <w:tcPr>
            <w:tcW w:w="10207" w:type="dxa"/>
            <w:gridSpan w:val="8"/>
            <w:tcBorders>
              <w:top w:val="single" w:sz="4" w:space="0" w:color="auto"/>
              <w:bottom w:val="single" w:sz="4" w:space="0" w:color="auto"/>
              <w:right w:val="single" w:sz="4" w:space="0" w:color="auto"/>
            </w:tcBorders>
            <w:shd w:val="clear" w:color="auto" w:fill="D9D9D9" w:themeFill="background1" w:themeFillShade="D9"/>
            <w:noWrap/>
            <w:vAlign w:val="bottom"/>
          </w:tcPr>
          <w:p w14:paraId="38BA33A5" w14:textId="77777777" w:rsidR="00F96509" w:rsidRPr="005E08A9" w:rsidRDefault="00F96509" w:rsidP="00CE4E4E">
            <w:pPr>
              <w:rPr>
                <w:b/>
                <w:noProof/>
                <w:color w:val="000000"/>
              </w:rPr>
            </w:pPr>
            <w:r>
              <w:rPr>
                <w:b/>
                <w:noProof/>
                <w:color w:val="000000"/>
              </w:rPr>
              <w:t>Élargir la participation et renforcer l’espace européen de la recherche</w:t>
            </w:r>
          </w:p>
        </w:tc>
      </w:tr>
      <w:tr w:rsidR="005C3BF9" w:rsidRPr="005E08A9" w14:paraId="24FC4454" w14:textId="77777777">
        <w:trPr>
          <w:trHeight w:val="246"/>
        </w:trPr>
        <w:tc>
          <w:tcPr>
            <w:tcW w:w="2553" w:type="dxa"/>
            <w:tcBorders>
              <w:top w:val="single" w:sz="4" w:space="0" w:color="auto"/>
              <w:bottom w:val="single" w:sz="4" w:space="0" w:color="auto"/>
            </w:tcBorders>
            <w:noWrap/>
            <w:vAlign w:val="bottom"/>
            <w:hideMark/>
          </w:tcPr>
          <w:p w14:paraId="1B87904E" w14:textId="77777777" w:rsidR="00F96509" w:rsidRPr="005E08A9" w:rsidRDefault="00F96509" w:rsidP="00CE4E4E">
            <w:pPr>
              <w:rPr>
                <w:noProof/>
                <w:color w:val="000000"/>
              </w:rPr>
            </w:pPr>
            <w:r>
              <w:rPr>
                <w:noProof/>
                <w:color w:val="000000"/>
              </w:rPr>
              <w:t>Élargir la participation et propager l’excellence</w:t>
            </w:r>
          </w:p>
        </w:tc>
        <w:tc>
          <w:tcPr>
            <w:tcW w:w="992" w:type="dxa"/>
            <w:tcBorders>
              <w:top w:val="single" w:sz="4" w:space="0" w:color="auto"/>
              <w:bottom w:val="single" w:sz="4" w:space="0" w:color="auto"/>
            </w:tcBorders>
            <w:noWrap/>
          </w:tcPr>
          <w:p w14:paraId="3AB7B3BD" w14:textId="77777777" w:rsidR="00F96509" w:rsidRPr="005E08A9" w:rsidRDefault="00F96509" w:rsidP="00CE4E4E">
            <w:pPr>
              <w:rPr>
                <w:noProof/>
                <w:color w:val="000000"/>
              </w:rPr>
            </w:pPr>
            <w:r>
              <w:rPr>
                <w:noProof/>
              </w:rPr>
              <w:t>3 165</w:t>
            </w:r>
          </w:p>
        </w:tc>
        <w:tc>
          <w:tcPr>
            <w:tcW w:w="850" w:type="dxa"/>
            <w:tcBorders>
              <w:top w:val="single" w:sz="4" w:space="0" w:color="auto"/>
              <w:bottom w:val="single" w:sz="4" w:space="0" w:color="auto"/>
            </w:tcBorders>
            <w:noWrap/>
          </w:tcPr>
          <w:p w14:paraId="3477245D" w14:textId="77777777" w:rsidR="00F96509" w:rsidRPr="005E08A9" w:rsidRDefault="00F96509" w:rsidP="00CE4E4E">
            <w:pPr>
              <w:rPr>
                <w:noProof/>
                <w:color w:val="000000"/>
              </w:rPr>
            </w:pPr>
            <w:r>
              <w:rPr>
                <w:noProof/>
              </w:rPr>
              <w:t>831</w:t>
            </w:r>
          </w:p>
        </w:tc>
        <w:tc>
          <w:tcPr>
            <w:tcW w:w="1134" w:type="dxa"/>
            <w:tcBorders>
              <w:top w:val="single" w:sz="4" w:space="0" w:color="auto"/>
              <w:bottom w:val="single" w:sz="4" w:space="0" w:color="auto"/>
            </w:tcBorders>
            <w:noWrap/>
          </w:tcPr>
          <w:p w14:paraId="59BAE14B" w14:textId="77777777" w:rsidR="00F96509" w:rsidRPr="005E08A9" w:rsidRDefault="00F96509" w:rsidP="00CE4E4E">
            <w:pPr>
              <w:rPr>
                <w:noProof/>
                <w:color w:val="000000"/>
              </w:rPr>
            </w:pPr>
            <w:r>
              <w:rPr>
                <w:noProof/>
              </w:rPr>
              <w:t>26 %</w:t>
            </w:r>
          </w:p>
        </w:tc>
        <w:tc>
          <w:tcPr>
            <w:tcW w:w="1134" w:type="dxa"/>
            <w:tcBorders>
              <w:top w:val="single" w:sz="4" w:space="0" w:color="auto"/>
              <w:left w:val="nil"/>
              <w:bottom w:val="single" w:sz="4" w:space="0" w:color="auto"/>
              <w:right w:val="single" w:sz="4" w:space="0" w:color="auto"/>
            </w:tcBorders>
            <w:noWrap/>
          </w:tcPr>
          <w:p w14:paraId="7161EE75" w14:textId="77777777" w:rsidR="00F96509" w:rsidRPr="005E08A9" w:rsidRDefault="00F96509" w:rsidP="00CE4E4E">
            <w:pPr>
              <w:rPr>
                <w:noProof/>
                <w:color w:val="000000"/>
              </w:rPr>
            </w:pPr>
            <w:r>
              <w:rPr>
                <w:noProof/>
              </w:rPr>
              <w:t>77 %</w:t>
            </w:r>
          </w:p>
        </w:tc>
        <w:tc>
          <w:tcPr>
            <w:tcW w:w="993" w:type="dxa"/>
            <w:tcBorders>
              <w:top w:val="single" w:sz="4" w:space="0" w:color="auto"/>
              <w:left w:val="nil"/>
              <w:bottom w:val="single" w:sz="4" w:space="0" w:color="auto"/>
              <w:right w:val="single" w:sz="4" w:space="0" w:color="auto"/>
            </w:tcBorders>
          </w:tcPr>
          <w:p w14:paraId="5505F424" w14:textId="77777777" w:rsidR="00F96509" w:rsidRPr="005E08A9" w:rsidRDefault="00F96509" w:rsidP="00CE4E4E">
            <w:pPr>
              <w:rPr>
                <w:noProof/>
                <w:color w:val="000000"/>
              </w:rPr>
            </w:pPr>
            <w:r>
              <w:rPr>
                <w:noProof/>
              </w:rPr>
              <w:t>657</w:t>
            </w:r>
          </w:p>
        </w:tc>
        <w:tc>
          <w:tcPr>
            <w:tcW w:w="1134" w:type="dxa"/>
            <w:tcBorders>
              <w:top w:val="single" w:sz="4" w:space="0" w:color="auto"/>
              <w:left w:val="single" w:sz="4" w:space="0" w:color="auto"/>
              <w:bottom w:val="single" w:sz="4" w:space="0" w:color="auto"/>
              <w:right w:val="single" w:sz="4" w:space="0" w:color="auto"/>
            </w:tcBorders>
          </w:tcPr>
          <w:p w14:paraId="6073E9CF" w14:textId="77777777" w:rsidR="00F96509" w:rsidRPr="005E08A9" w:rsidRDefault="00F96509" w:rsidP="00CE4E4E">
            <w:pPr>
              <w:rPr>
                <w:noProof/>
                <w:color w:val="000000"/>
              </w:rPr>
            </w:pPr>
            <w:r>
              <w:rPr>
                <w:noProof/>
              </w:rPr>
              <w:t>1 487</w:t>
            </w:r>
          </w:p>
        </w:tc>
        <w:tc>
          <w:tcPr>
            <w:tcW w:w="1417" w:type="dxa"/>
            <w:tcBorders>
              <w:top w:val="single" w:sz="4" w:space="0" w:color="auto"/>
              <w:left w:val="single" w:sz="4" w:space="0" w:color="auto"/>
              <w:bottom w:val="single" w:sz="4" w:space="0" w:color="auto"/>
              <w:right w:val="single" w:sz="4" w:space="0" w:color="auto"/>
            </w:tcBorders>
          </w:tcPr>
          <w:p w14:paraId="59DD9725" w14:textId="77777777" w:rsidR="00F96509" w:rsidRPr="005E08A9" w:rsidRDefault="00F96509" w:rsidP="00CE4E4E">
            <w:pPr>
              <w:rPr>
                <w:noProof/>
                <w:color w:val="000000"/>
              </w:rPr>
            </w:pPr>
            <w:r>
              <w:rPr>
                <w:noProof/>
              </w:rPr>
              <w:t>2,3</w:t>
            </w:r>
          </w:p>
        </w:tc>
      </w:tr>
      <w:tr w:rsidR="005C3BF9" w:rsidRPr="005E08A9" w14:paraId="10013988" w14:textId="77777777">
        <w:trPr>
          <w:trHeight w:val="246"/>
        </w:trPr>
        <w:tc>
          <w:tcPr>
            <w:tcW w:w="2553" w:type="dxa"/>
            <w:tcBorders>
              <w:top w:val="single" w:sz="4" w:space="0" w:color="auto"/>
              <w:bottom w:val="single" w:sz="4" w:space="0" w:color="auto"/>
            </w:tcBorders>
            <w:noWrap/>
            <w:vAlign w:val="bottom"/>
            <w:hideMark/>
          </w:tcPr>
          <w:p w14:paraId="7CD614D7" w14:textId="054F7F22" w:rsidR="00F96509" w:rsidRPr="005E08A9" w:rsidRDefault="00F96509" w:rsidP="00CE4E4E">
            <w:pPr>
              <w:rPr>
                <w:noProof/>
                <w:color w:val="000000"/>
              </w:rPr>
            </w:pPr>
            <w:r>
              <w:rPr>
                <w:noProof/>
                <w:color w:val="000000"/>
              </w:rPr>
              <w:t>Réformer et consolider le système européen de R&amp;I</w:t>
            </w:r>
          </w:p>
        </w:tc>
        <w:tc>
          <w:tcPr>
            <w:tcW w:w="992" w:type="dxa"/>
            <w:tcBorders>
              <w:top w:val="single" w:sz="4" w:space="0" w:color="auto"/>
              <w:bottom w:val="single" w:sz="4" w:space="0" w:color="auto"/>
            </w:tcBorders>
            <w:noWrap/>
          </w:tcPr>
          <w:p w14:paraId="3BEA8380" w14:textId="77777777" w:rsidR="00F96509" w:rsidRPr="005E08A9" w:rsidRDefault="00F96509" w:rsidP="00CE4E4E">
            <w:pPr>
              <w:rPr>
                <w:noProof/>
                <w:color w:val="000000"/>
              </w:rPr>
            </w:pPr>
            <w:r>
              <w:rPr>
                <w:noProof/>
              </w:rPr>
              <w:t>374</w:t>
            </w:r>
          </w:p>
        </w:tc>
        <w:tc>
          <w:tcPr>
            <w:tcW w:w="850" w:type="dxa"/>
            <w:tcBorders>
              <w:top w:val="single" w:sz="4" w:space="0" w:color="auto"/>
              <w:bottom w:val="single" w:sz="4" w:space="0" w:color="auto"/>
            </w:tcBorders>
            <w:noWrap/>
          </w:tcPr>
          <w:p w14:paraId="2EC3A808" w14:textId="77777777" w:rsidR="00F96509" w:rsidRPr="005E08A9" w:rsidRDefault="00F96509" w:rsidP="00CE4E4E">
            <w:pPr>
              <w:rPr>
                <w:noProof/>
                <w:color w:val="000000"/>
              </w:rPr>
            </w:pPr>
            <w:r>
              <w:rPr>
                <w:noProof/>
              </w:rPr>
              <w:t>109</w:t>
            </w:r>
          </w:p>
        </w:tc>
        <w:tc>
          <w:tcPr>
            <w:tcW w:w="1134" w:type="dxa"/>
            <w:tcBorders>
              <w:top w:val="single" w:sz="4" w:space="0" w:color="auto"/>
              <w:bottom w:val="single" w:sz="4" w:space="0" w:color="auto"/>
            </w:tcBorders>
            <w:noWrap/>
          </w:tcPr>
          <w:p w14:paraId="23120F47" w14:textId="77777777" w:rsidR="00F96509" w:rsidRPr="005E08A9" w:rsidRDefault="00F96509" w:rsidP="00CE4E4E">
            <w:pPr>
              <w:rPr>
                <w:noProof/>
                <w:color w:val="000000"/>
              </w:rPr>
            </w:pPr>
            <w:r>
              <w:rPr>
                <w:noProof/>
              </w:rPr>
              <w:t>29 %</w:t>
            </w:r>
          </w:p>
        </w:tc>
        <w:tc>
          <w:tcPr>
            <w:tcW w:w="1134" w:type="dxa"/>
            <w:tcBorders>
              <w:top w:val="single" w:sz="4" w:space="0" w:color="auto"/>
              <w:left w:val="nil"/>
              <w:bottom w:val="single" w:sz="4" w:space="0" w:color="auto"/>
              <w:right w:val="single" w:sz="4" w:space="0" w:color="auto"/>
            </w:tcBorders>
            <w:noWrap/>
          </w:tcPr>
          <w:p w14:paraId="06E0DE81" w14:textId="77777777" w:rsidR="00F96509" w:rsidRPr="005E08A9" w:rsidRDefault="00F96509" w:rsidP="00CE4E4E">
            <w:pPr>
              <w:rPr>
                <w:noProof/>
                <w:color w:val="000000"/>
              </w:rPr>
            </w:pPr>
            <w:r>
              <w:rPr>
                <w:noProof/>
              </w:rPr>
              <w:t>69 %</w:t>
            </w:r>
          </w:p>
        </w:tc>
        <w:tc>
          <w:tcPr>
            <w:tcW w:w="993" w:type="dxa"/>
            <w:tcBorders>
              <w:top w:val="single" w:sz="4" w:space="0" w:color="auto"/>
              <w:left w:val="nil"/>
              <w:bottom w:val="single" w:sz="4" w:space="0" w:color="auto"/>
              <w:right w:val="single" w:sz="4" w:space="0" w:color="auto"/>
            </w:tcBorders>
          </w:tcPr>
          <w:p w14:paraId="7BC4A7D1" w14:textId="77777777" w:rsidR="00F96509" w:rsidRPr="005E08A9" w:rsidRDefault="00F96509" w:rsidP="00CE4E4E">
            <w:pPr>
              <w:rPr>
                <w:noProof/>
                <w:color w:val="000000"/>
              </w:rPr>
            </w:pPr>
            <w:r>
              <w:rPr>
                <w:noProof/>
              </w:rPr>
              <w:t>110</w:t>
            </w:r>
          </w:p>
        </w:tc>
        <w:tc>
          <w:tcPr>
            <w:tcW w:w="1134" w:type="dxa"/>
            <w:tcBorders>
              <w:top w:val="single" w:sz="4" w:space="0" w:color="auto"/>
              <w:left w:val="single" w:sz="4" w:space="0" w:color="auto"/>
              <w:bottom w:val="single" w:sz="4" w:space="0" w:color="auto"/>
              <w:right w:val="single" w:sz="4" w:space="0" w:color="auto"/>
            </w:tcBorders>
          </w:tcPr>
          <w:p w14:paraId="4266FC87" w14:textId="77777777" w:rsidR="00F96509" w:rsidRPr="005E08A9" w:rsidRDefault="00F96509" w:rsidP="00CE4E4E">
            <w:pPr>
              <w:rPr>
                <w:noProof/>
                <w:color w:val="000000"/>
              </w:rPr>
            </w:pPr>
            <w:r>
              <w:rPr>
                <w:noProof/>
              </w:rPr>
              <w:t>236</w:t>
            </w:r>
          </w:p>
        </w:tc>
        <w:tc>
          <w:tcPr>
            <w:tcW w:w="1417" w:type="dxa"/>
            <w:tcBorders>
              <w:top w:val="single" w:sz="4" w:space="0" w:color="auto"/>
              <w:left w:val="single" w:sz="4" w:space="0" w:color="auto"/>
              <w:bottom w:val="single" w:sz="4" w:space="0" w:color="auto"/>
              <w:right w:val="single" w:sz="4" w:space="0" w:color="auto"/>
            </w:tcBorders>
          </w:tcPr>
          <w:p w14:paraId="03F2ADC6" w14:textId="77777777" w:rsidR="00F96509" w:rsidRPr="005E08A9" w:rsidRDefault="00F96509" w:rsidP="00CE4E4E">
            <w:pPr>
              <w:rPr>
                <w:noProof/>
                <w:color w:val="000000"/>
              </w:rPr>
            </w:pPr>
            <w:r>
              <w:rPr>
                <w:noProof/>
              </w:rPr>
              <w:t>2,1</w:t>
            </w:r>
          </w:p>
        </w:tc>
      </w:tr>
      <w:tr w:rsidR="00D336A8" w:rsidRPr="005E08A9" w14:paraId="37705C96" w14:textId="77777777">
        <w:trPr>
          <w:trHeight w:val="246"/>
        </w:trPr>
        <w:tc>
          <w:tcPr>
            <w:tcW w:w="2553" w:type="dxa"/>
            <w:tcBorders>
              <w:top w:val="single" w:sz="4" w:space="0" w:color="auto"/>
              <w:bottom w:val="single" w:sz="4" w:space="0" w:color="auto"/>
            </w:tcBorders>
            <w:shd w:val="clear" w:color="auto" w:fill="BFBFBF" w:themeFill="background1" w:themeFillShade="BF"/>
            <w:noWrap/>
            <w:vAlign w:val="bottom"/>
          </w:tcPr>
          <w:p w14:paraId="1A08DD84" w14:textId="77777777" w:rsidR="00F96509" w:rsidRPr="005E08A9" w:rsidRDefault="00F96509" w:rsidP="00CE4E4E">
            <w:pPr>
              <w:rPr>
                <w:b/>
                <w:noProof/>
                <w:color w:val="000000"/>
              </w:rPr>
            </w:pPr>
            <w:r>
              <w:rPr>
                <w:b/>
                <w:noProof/>
                <w:color w:val="000000"/>
              </w:rPr>
              <w:t>Total pour Horizon Europe</w:t>
            </w:r>
          </w:p>
          <w:p w14:paraId="6126D2E3" w14:textId="77777777" w:rsidR="00F96509" w:rsidRPr="005E08A9" w:rsidRDefault="00F96509" w:rsidP="00CE4E4E">
            <w:pPr>
              <w:rPr>
                <w:b/>
                <w:noProof/>
                <w:color w:val="000000"/>
              </w:rPr>
            </w:pPr>
          </w:p>
        </w:tc>
        <w:tc>
          <w:tcPr>
            <w:tcW w:w="992" w:type="dxa"/>
            <w:tcBorders>
              <w:top w:val="single" w:sz="4" w:space="0" w:color="auto"/>
              <w:bottom w:val="single" w:sz="4" w:space="0" w:color="auto"/>
            </w:tcBorders>
            <w:shd w:val="clear" w:color="auto" w:fill="BFBFBF" w:themeFill="background1" w:themeFillShade="BF"/>
            <w:noWrap/>
          </w:tcPr>
          <w:p w14:paraId="297548AD" w14:textId="77777777" w:rsidR="00F96509" w:rsidRPr="005E08A9" w:rsidRDefault="00F96509" w:rsidP="00CE4E4E">
            <w:pPr>
              <w:rPr>
                <w:b/>
                <w:bCs/>
                <w:noProof/>
                <w:color w:val="000000" w:themeColor="text1"/>
              </w:rPr>
            </w:pPr>
            <w:r>
              <w:rPr>
                <w:b/>
                <w:noProof/>
              </w:rPr>
              <w:t>148 884</w:t>
            </w:r>
          </w:p>
        </w:tc>
        <w:tc>
          <w:tcPr>
            <w:tcW w:w="850" w:type="dxa"/>
            <w:tcBorders>
              <w:top w:val="single" w:sz="4" w:space="0" w:color="auto"/>
              <w:bottom w:val="single" w:sz="4" w:space="0" w:color="auto"/>
            </w:tcBorders>
            <w:shd w:val="clear" w:color="auto" w:fill="BFBFBF" w:themeFill="background1" w:themeFillShade="BF"/>
            <w:noWrap/>
          </w:tcPr>
          <w:p w14:paraId="1371D224" w14:textId="77777777" w:rsidR="00F96509" w:rsidRPr="005E08A9" w:rsidRDefault="00F96509" w:rsidP="00CE4E4E">
            <w:pPr>
              <w:rPr>
                <w:b/>
                <w:bCs/>
                <w:noProof/>
                <w:color w:val="000000" w:themeColor="text1"/>
              </w:rPr>
            </w:pPr>
            <w:r>
              <w:rPr>
                <w:b/>
                <w:noProof/>
              </w:rPr>
              <w:t>21 329</w:t>
            </w:r>
          </w:p>
        </w:tc>
        <w:tc>
          <w:tcPr>
            <w:tcW w:w="1134" w:type="dxa"/>
            <w:tcBorders>
              <w:top w:val="single" w:sz="4" w:space="0" w:color="auto"/>
              <w:bottom w:val="single" w:sz="4" w:space="0" w:color="auto"/>
            </w:tcBorders>
            <w:shd w:val="clear" w:color="auto" w:fill="BFBFBF" w:themeFill="background1" w:themeFillShade="BF"/>
            <w:noWrap/>
          </w:tcPr>
          <w:p w14:paraId="109778E3" w14:textId="77777777" w:rsidR="00F96509" w:rsidRPr="005E08A9" w:rsidRDefault="00F96509" w:rsidP="00CE4E4E">
            <w:pPr>
              <w:rPr>
                <w:b/>
                <w:bCs/>
                <w:noProof/>
                <w:color w:val="000000" w:themeColor="text1"/>
              </w:rPr>
            </w:pPr>
            <w:r>
              <w:rPr>
                <w:b/>
                <w:noProof/>
              </w:rPr>
              <w:t>14 %</w:t>
            </w:r>
          </w:p>
        </w:tc>
        <w:tc>
          <w:tcPr>
            <w:tcW w:w="1134" w:type="dxa"/>
            <w:tcBorders>
              <w:top w:val="single" w:sz="4" w:space="0" w:color="auto"/>
              <w:left w:val="nil"/>
              <w:bottom w:val="single" w:sz="4" w:space="0" w:color="auto"/>
              <w:right w:val="single" w:sz="4" w:space="0" w:color="auto"/>
            </w:tcBorders>
            <w:shd w:val="clear" w:color="auto" w:fill="BFBFBF" w:themeFill="background1" w:themeFillShade="BF"/>
            <w:noWrap/>
          </w:tcPr>
          <w:p w14:paraId="1E054CB9" w14:textId="77777777" w:rsidR="00F96509" w:rsidRPr="005E08A9" w:rsidRDefault="00F96509" w:rsidP="00CE4E4E">
            <w:pPr>
              <w:rPr>
                <w:b/>
                <w:bCs/>
                <w:noProof/>
                <w:color w:val="000000" w:themeColor="text1"/>
              </w:rPr>
            </w:pPr>
            <w:r>
              <w:rPr>
                <w:b/>
                <w:noProof/>
              </w:rPr>
              <w:t>57 %</w:t>
            </w:r>
          </w:p>
        </w:tc>
        <w:tc>
          <w:tcPr>
            <w:tcW w:w="993" w:type="dxa"/>
            <w:tcBorders>
              <w:top w:val="single" w:sz="4" w:space="0" w:color="auto"/>
              <w:left w:val="nil"/>
              <w:bottom w:val="single" w:sz="4" w:space="0" w:color="auto"/>
              <w:right w:val="single" w:sz="4" w:space="0" w:color="auto"/>
            </w:tcBorders>
            <w:shd w:val="clear" w:color="auto" w:fill="BFBFBF" w:themeFill="background1" w:themeFillShade="BF"/>
          </w:tcPr>
          <w:p w14:paraId="4C5D07C9" w14:textId="77777777" w:rsidR="00F96509" w:rsidRPr="005E08A9" w:rsidRDefault="00F96509" w:rsidP="00CE4E4E">
            <w:pPr>
              <w:rPr>
                <w:b/>
                <w:bCs/>
                <w:noProof/>
                <w:color w:val="000000" w:themeColor="text1"/>
              </w:rPr>
            </w:pPr>
            <w:r>
              <w:rPr>
                <w:b/>
                <w:noProof/>
              </w:rPr>
              <w:t>19 456</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0074CD" w14:textId="77777777" w:rsidR="00F96509" w:rsidRPr="005E08A9" w:rsidRDefault="00F96509" w:rsidP="00CE4E4E">
            <w:pPr>
              <w:rPr>
                <w:b/>
                <w:bCs/>
                <w:noProof/>
                <w:color w:val="000000"/>
              </w:rPr>
            </w:pPr>
            <w:r>
              <w:rPr>
                <w:b/>
                <w:noProof/>
              </w:rPr>
              <w:t>52 760</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8D9A97" w14:textId="77777777" w:rsidR="00F96509" w:rsidRPr="005E08A9" w:rsidRDefault="00F96509" w:rsidP="00CE4E4E">
            <w:pPr>
              <w:keepNext/>
              <w:rPr>
                <w:b/>
                <w:bCs/>
                <w:noProof/>
                <w:color w:val="000000"/>
              </w:rPr>
            </w:pPr>
            <w:r>
              <w:rPr>
                <w:b/>
                <w:noProof/>
              </w:rPr>
              <w:t>2,7</w:t>
            </w:r>
          </w:p>
        </w:tc>
      </w:tr>
    </w:tbl>
    <w:p w14:paraId="53046023" w14:textId="2F81D8D1" w:rsidR="00F96509" w:rsidRPr="005E08A9" w:rsidRDefault="00F96509" w:rsidP="00C52261">
      <w:pPr>
        <w:pStyle w:val="Caption"/>
        <w:spacing w:before="120" w:after="120"/>
        <w:rPr>
          <w:noProof/>
          <w:sz w:val="20"/>
        </w:rPr>
      </w:pPr>
      <w:r>
        <w:rPr>
          <w:noProof/>
          <w:sz w:val="20"/>
        </w:rPr>
        <w:t>Tableau </w:t>
      </w:r>
      <w:r>
        <w:rPr>
          <w:noProof/>
          <w:sz w:val="20"/>
        </w:rPr>
        <w:fldChar w:fldCharType="begin"/>
      </w:r>
      <w:r>
        <w:rPr>
          <w:noProof/>
          <w:sz w:val="20"/>
        </w:rPr>
        <w:instrText xml:space="preserve"> SEQ Table \* ARABIC </w:instrText>
      </w:r>
      <w:r>
        <w:rPr>
          <w:noProof/>
          <w:sz w:val="20"/>
        </w:rPr>
        <w:fldChar w:fldCharType="separate"/>
      </w:r>
      <w:r>
        <w:rPr>
          <w:noProof/>
          <w:sz w:val="20"/>
        </w:rPr>
        <w:t>1</w:t>
      </w:r>
      <w:r>
        <w:rPr>
          <w:noProof/>
          <w:sz w:val="20"/>
        </w:rPr>
        <w:fldChar w:fldCharType="end"/>
      </w:r>
      <w:r>
        <w:rPr>
          <w:noProof/>
          <w:sz w:val="20"/>
        </w:rPr>
        <w:t xml:space="preserve"> Propositions et subventions signées par partie de programme, pour la période 2021-2025 (source: Tableaux de bord des propositions et projets Horizon, arrêtés au 5 janvier 2026)</w:t>
      </w:r>
    </w:p>
    <w:p w14:paraId="69E90FA1" w14:textId="77777777" w:rsidR="00F96509" w:rsidRPr="005E08A9" w:rsidRDefault="00F96509" w:rsidP="699836A2">
      <w:pPr>
        <w:rPr>
          <w:rStyle w:val="Strong"/>
          <w:rFonts w:eastAsiaTheme="minorEastAsia"/>
          <w:noProof/>
        </w:rPr>
      </w:pPr>
      <w:r>
        <w:rPr>
          <w:rStyle w:val="Strong"/>
          <w:noProof/>
        </w:rPr>
        <w:t>Répondre aux priorités des politiques de l’Union</w:t>
      </w:r>
    </w:p>
    <w:p w14:paraId="2D09896D" w14:textId="77777777" w:rsidR="00F96509" w:rsidRPr="005E08A9" w:rsidRDefault="00F96509" w:rsidP="00CE4E4E">
      <w:pPr>
        <w:rPr>
          <w:i/>
          <w:noProof/>
        </w:rPr>
      </w:pPr>
      <w:r>
        <w:rPr>
          <w:i/>
          <w:noProof/>
        </w:rPr>
        <w:t>Source: Fiche de performance du programme relative à Horizon Europe</w:t>
      </w:r>
    </w:p>
    <w:p w14:paraId="61E9F0B0" w14:textId="5AB6CFF7" w:rsidR="00F96509" w:rsidRPr="00A4763C" w:rsidRDefault="00F96509" w:rsidP="00CE4E4E">
      <w:pPr>
        <w:rPr>
          <w:noProof/>
        </w:rPr>
      </w:pPr>
      <w:r>
        <w:rPr>
          <w:noProof/>
        </w:rPr>
        <w:t>La R&amp;I joue un rôle important dans l’accélération de la transition écologique. Jusqu’à présent, Horizon Europe est en bonne voie pour atteindre son objectif de 35 % des dépenses consacrées à la lutte contre le changement climatique, tandis que des travaux supplémentaires seront nécessaires pour atteindre l’objectif de 10 % de dépenses en faveur de la biodiversité pour la période 2026-2027.</w:t>
      </w:r>
    </w:p>
    <w:p w14:paraId="66C384D3" w14:textId="6A6F2AF4" w:rsidR="00F96509" w:rsidRPr="005E08A9" w:rsidRDefault="00F96509" w:rsidP="00CE4E4E">
      <w:pPr>
        <w:rPr>
          <w:noProof/>
        </w:rPr>
      </w:pPr>
      <w:r>
        <w:rPr>
          <w:noProof/>
        </w:rPr>
        <w:t xml:space="preserve">En 2025, environ 58,7 millions d’EUR ont été alloués à des projets dont l’objectif principal est d’améliorer l’égalité entre les femmes et les hommes et environ 1 848 millions d’euros à des projets qui contribuent à l’égalité entre les hommes et les femmes. </w:t>
      </w:r>
    </w:p>
    <w:p w14:paraId="75CB7A46" w14:textId="77777777" w:rsidR="00F96509" w:rsidRPr="005E08A9" w:rsidRDefault="00F96509" w:rsidP="00CE4E4E">
      <w:pPr>
        <w:rPr>
          <w:rStyle w:val="Strong"/>
          <w:rFonts w:eastAsiaTheme="minorHAnsi"/>
          <w:noProof/>
        </w:rPr>
      </w:pPr>
      <w:r>
        <w:rPr>
          <w:rStyle w:val="Strong"/>
          <w:noProof/>
        </w:rPr>
        <w:t>Demandeurs et bénéficiaires</w:t>
      </w:r>
    </w:p>
    <w:p w14:paraId="1A1ED7A7" w14:textId="6DF7FF72" w:rsidR="00F96509" w:rsidRPr="005E08A9" w:rsidRDefault="00F96509" w:rsidP="00CE4E4E">
      <w:pPr>
        <w:rPr>
          <w:i/>
          <w:noProof/>
        </w:rPr>
      </w:pPr>
      <w:r>
        <w:rPr>
          <w:i/>
          <w:noProof/>
        </w:rPr>
        <w:t>Source: systèmes de suivi interne de la Commission, 5 janvier 2026</w:t>
      </w:r>
    </w:p>
    <w:p w14:paraId="2C43DDD6" w14:textId="05626F41" w:rsidR="00F96509" w:rsidRPr="005E08A9" w:rsidRDefault="00F96509" w:rsidP="00CE4E4E">
      <w:pPr>
        <w:rPr>
          <w:noProof/>
        </w:rPr>
      </w:pPr>
      <w:r>
        <w:rPr>
          <w:noProof/>
        </w:rPr>
        <w:t>Les projets signés au cours des cinq premières années du programme concernent</w:t>
      </w:r>
      <w:r>
        <w:rPr>
          <w:b/>
          <w:noProof/>
        </w:rPr>
        <w:t xml:space="preserve"> 31 006 participants uniques </w:t>
      </w:r>
      <w:r>
        <w:rPr>
          <w:noProof/>
        </w:rPr>
        <w:t xml:space="preserve">originaires de </w:t>
      </w:r>
      <w:r>
        <w:rPr>
          <w:b/>
          <w:noProof/>
        </w:rPr>
        <w:t xml:space="preserve">175 pays différents, </w:t>
      </w:r>
      <w:r>
        <w:rPr>
          <w:noProof/>
        </w:rPr>
        <w:t>dont 35 % de petites et moyennes entreprises (PME)</w:t>
      </w:r>
      <w:r>
        <w:rPr>
          <w:rStyle w:val="FootnoteReference"/>
          <w:noProof/>
        </w:rPr>
        <w:footnoteReference w:id="6"/>
      </w:r>
      <w:r>
        <w:rPr>
          <w:noProof/>
        </w:rPr>
        <w:t>.</w:t>
      </w:r>
      <w:r>
        <w:rPr>
          <w:b/>
          <w:noProof/>
        </w:rPr>
        <w:t xml:space="preserve"> </w:t>
      </w:r>
      <w:r>
        <w:rPr>
          <w:noProof/>
        </w:rPr>
        <w:t>En moyenne, chaque participant participe à 3,9 projets.</w:t>
      </w:r>
    </w:p>
    <w:p w14:paraId="42A22F1D" w14:textId="1A4FF30A" w:rsidR="00F96509" w:rsidRPr="005E08A9" w:rsidRDefault="00356A73" w:rsidP="00CE4E4E">
      <w:pPr>
        <w:rPr>
          <w:noProof/>
        </w:rPr>
      </w:pPr>
      <w:r>
        <w:rPr>
          <w:noProof/>
        </w:rPr>
        <w:t xml:space="preserve">Les </w:t>
      </w:r>
      <w:r>
        <w:rPr>
          <w:b/>
          <w:noProof/>
        </w:rPr>
        <w:t>nouveaux participants</w:t>
      </w:r>
      <w:r>
        <w:rPr>
          <w:noProof/>
        </w:rPr>
        <w:t xml:space="preserve"> au programme (nouveaux arrivants) représentent 55 % de l’ensemble des participants, contre 54 % il y a un an. Le taux de participation des nouveaux arrivants (c’est-à-dire le nombre de projets rejoints en moyenne par chaque participant) est inférieur à celui des anciens participants (1,2 contre 5). Les nouveaux arrivants proviennent principalement du secteur privé, dont un grand nombre de PME, et ont bénéficié jusqu’à présent de 16,7 % de l’ensemble du financement assuré par Horizon Europe. </w:t>
      </w:r>
    </w:p>
    <w:p w14:paraId="62F6333D" w14:textId="70648044" w:rsidR="00F96509" w:rsidRPr="005E08A9" w:rsidRDefault="00F96509" w:rsidP="00CE4E4E">
      <w:pPr>
        <w:rPr>
          <w:noProof/>
        </w:rPr>
      </w:pPr>
      <w:r>
        <w:rPr>
          <w:noProof/>
        </w:rPr>
        <w:t xml:space="preserve">La proportion la plus élevée de participants provient d’établissements d’enseignement supérieur (35 %) et reçoit la contribution financière la plus élevée (19 milliards d’EUR). Les entités du secteur privé et les organismes de recherche représentent respectivement 30 % et 22 % de la participation et reçoivent respectivement 13,5 milliards et 14 milliards d’EUR. </w:t>
      </w:r>
    </w:p>
    <w:p w14:paraId="1A18A4D9" w14:textId="2E270851" w:rsidR="00F96509" w:rsidRPr="005E08A9" w:rsidRDefault="00F96509" w:rsidP="00CE4E4E">
      <w:pPr>
        <w:rPr>
          <w:noProof/>
        </w:rPr>
      </w:pPr>
      <w:r>
        <w:rPr>
          <w:noProof/>
        </w:rPr>
        <w:t>Les participants des États membres représentent près de 80 % de l’ensemble des demandes admissibles soumises, 19 % provenant de pays bénéficiant de l’élargissement de la participation au programme. Au total, les entités situées dans les États membres ont reçu 47,3 milliards d’EUR (89,6 % des fonds). Les États membres bénéficiant de l’élargissement de la participation au programme</w:t>
      </w:r>
      <w:r>
        <w:rPr>
          <w:rStyle w:val="FootnoteReference"/>
          <w:noProof/>
        </w:rPr>
        <w:footnoteReference w:id="7"/>
      </w:r>
      <w:r>
        <w:rPr>
          <w:noProof/>
        </w:rPr>
        <w:t xml:space="preserve"> se sont vu attribuer 13,1 % des fonds, soit une part plus élevée que pour les mêmes pays dans le cadre d’Horizon 2020. </w:t>
      </w:r>
    </w:p>
    <w:p w14:paraId="3E78CBB5" w14:textId="5A99B134" w:rsidR="00F96509" w:rsidRPr="005E08A9" w:rsidRDefault="00D42CB3" w:rsidP="00CE4E4E">
      <w:pPr>
        <w:rPr>
          <w:noProof/>
        </w:rPr>
      </w:pPr>
      <w:r>
        <w:rPr>
          <w:noProof/>
        </w:rPr>
        <w:t xml:space="preserve">La méthode de déclaration pour les pays associés à Horizon Europe a été adaptée dans le tableau ci-dessous afin de tenir compte de la date à laquelle l’accord d’association est entré en vigueur. </w:t>
      </w:r>
    </w:p>
    <w:tbl>
      <w:tblPr>
        <w:tblW w:w="9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391"/>
        <w:gridCol w:w="1047"/>
        <w:gridCol w:w="1106"/>
        <w:gridCol w:w="1134"/>
        <w:gridCol w:w="708"/>
        <w:gridCol w:w="1017"/>
        <w:gridCol w:w="1070"/>
      </w:tblGrid>
      <w:tr w:rsidR="00F96509" w:rsidRPr="005E08A9" w14:paraId="3AFC7189" w14:textId="77777777" w:rsidTr="5974E4A5">
        <w:trPr>
          <w:trHeight w:val="246"/>
        </w:trPr>
        <w:tc>
          <w:tcPr>
            <w:tcW w:w="2093" w:type="dxa"/>
            <w:tcBorders>
              <w:bottom w:val="single" w:sz="4" w:space="0" w:color="auto"/>
              <w:right w:val="nil"/>
            </w:tcBorders>
            <w:shd w:val="clear" w:color="auto" w:fill="4F81BD"/>
            <w:noWrap/>
            <w:vAlign w:val="center"/>
            <w:hideMark/>
          </w:tcPr>
          <w:p w14:paraId="3B2BC568" w14:textId="773214E1" w:rsidR="00F96509" w:rsidRPr="005E08A9" w:rsidRDefault="00F96509" w:rsidP="00BD4295">
            <w:pPr>
              <w:jc w:val="left"/>
              <w:rPr>
                <w:b/>
                <w:bCs/>
                <w:noProof/>
                <w:color w:val="FFFFFF"/>
                <w:sz w:val="20"/>
                <w:szCs w:val="20"/>
              </w:rPr>
            </w:pPr>
            <w:r>
              <w:rPr>
                <w:b/>
                <w:noProof/>
                <w:color w:val="FFFFFF"/>
                <w:sz w:val="20"/>
              </w:rPr>
              <w:t>Groupe de pays</w:t>
            </w:r>
          </w:p>
        </w:tc>
        <w:tc>
          <w:tcPr>
            <w:tcW w:w="1391" w:type="dxa"/>
            <w:tcBorders>
              <w:left w:val="nil"/>
              <w:bottom w:val="single" w:sz="4" w:space="0" w:color="auto"/>
              <w:right w:val="nil"/>
            </w:tcBorders>
            <w:shd w:val="clear" w:color="auto" w:fill="4F81BD"/>
            <w:noWrap/>
            <w:vAlign w:val="center"/>
            <w:hideMark/>
          </w:tcPr>
          <w:p w14:paraId="1940FAC7" w14:textId="77777777" w:rsidR="00F96509" w:rsidRPr="005E08A9" w:rsidRDefault="00F96509" w:rsidP="00BD4295">
            <w:pPr>
              <w:jc w:val="left"/>
              <w:rPr>
                <w:b/>
                <w:bCs/>
                <w:noProof/>
                <w:color w:val="FFFFFF"/>
                <w:sz w:val="20"/>
                <w:szCs w:val="20"/>
              </w:rPr>
            </w:pPr>
            <w:r>
              <w:rPr>
                <w:b/>
                <w:noProof/>
                <w:color w:val="FFFFFF"/>
                <w:sz w:val="20"/>
              </w:rPr>
              <w:t>Demandes dans les propositions éligibles</w:t>
            </w:r>
          </w:p>
        </w:tc>
        <w:tc>
          <w:tcPr>
            <w:tcW w:w="1047" w:type="dxa"/>
            <w:tcBorders>
              <w:left w:val="nil"/>
              <w:bottom w:val="single" w:sz="4" w:space="0" w:color="auto"/>
              <w:right w:val="nil"/>
            </w:tcBorders>
            <w:shd w:val="clear" w:color="auto" w:fill="4F81BD"/>
            <w:noWrap/>
            <w:vAlign w:val="center"/>
            <w:hideMark/>
          </w:tcPr>
          <w:p w14:paraId="6CE16F85" w14:textId="575801DC" w:rsidR="00F96509" w:rsidRPr="005E08A9" w:rsidRDefault="00F96509" w:rsidP="00BD4295">
            <w:pPr>
              <w:jc w:val="left"/>
              <w:rPr>
                <w:b/>
                <w:bCs/>
                <w:noProof/>
                <w:color w:val="FFFFFF"/>
                <w:sz w:val="20"/>
                <w:szCs w:val="20"/>
              </w:rPr>
            </w:pPr>
            <w:r>
              <w:rPr>
                <w:b/>
                <w:noProof/>
                <w:color w:val="FFFFFF"/>
                <w:sz w:val="20"/>
              </w:rPr>
              <w:t>% du nombre total des demandes</w:t>
            </w:r>
          </w:p>
        </w:tc>
        <w:tc>
          <w:tcPr>
            <w:tcW w:w="1106" w:type="dxa"/>
            <w:tcBorders>
              <w:left w:val="nil"/>
              <w:bottom w:val="single" w:sz="4" w:space="0" w:color="auto"/>
              <w:right w:val="nil"/>
            </w:tcBorders>
            <w:shd w:val="clear" w:color="auto" w:fill="4F81BD"/>
          </w:tcPr>
          <w:p w14:paraId="2C070A99" w14:textId="07984E05" w:rsidR="00F96509" w:rsidRPr="005E08A9" w:rsidRDefault="00F96509" w:rsidP="00BD4295">
            <w:pPr>
              <w:jc w:val="left"/>
              <w:rPr>
                <w:b/>
                <w:bCs/>
                <w:noProof/>
                <w:color w:val="FFFFFF"/>
                <w:sz w:val="20"/>
                <w:szCs w:val="20"/>
              </w:rPr>
            </w:pPr>
            <w:r>
              <w:rPr>
                <w:b/>
                <w:noProof/>
                <w:color w:val="FFFFFF"/>
                <w:sz w:val="20"/>
              </w:rPr>
              <w:t>Taux de réussite des demandes</w:t>
            </w:r>
          </w:p>
        </w:tc>
        <w:tc>
          <w:tcPr>
            <w:tcW w:w="1134" w:type="dxa"/>
            <w:tcBorders>
              <w:left w:val="nil"/>
              <w:bottom w:val="single" w:sz="4" w:space="0" w:color="auto"/>
              <w:right w:val="nil"/>
            </w:tcBorders>
            <w:shd w:val="clear" w:color="auto" w:fill="4F81BD"/>
            <w:noWrap/>
            <w:vAlign w:val="center"/>
            <w:hideMark/>
          </w:tcPr>
          <w:p w14:paraId="252E5365" w14:textId="77777777" w:rsidR="00F96509" w:rsidRPr="005E08A9" w:rsidRDefault="00F96509" w:rsidP="00BD4295">
            <w:pPr>
              <w:jc w:val="left"/>
              <w:rPr>
                <w:b/>
                <w:bCs/>
                <w:noProof/>
                <w:color w:val="FFFFFF"/>
                <w:sz w:val="20"/>
                <w:szCs w:val="20"/>
              </w:rPr>
            </w:pPr>
            <w:r>
              <w:rPr>
                <w:b/>
                <w:noProof/>
                <w:color w:val="FFFFFF"/>
                <w:sz w:val="20"/>
              </w:rPr>
              <w:t>Participation aux subventions signées</w:t>
            </w:r>
          </w:p>
        </w:tc>
        <w:tc>
          <w:tcPr>
            <w:tcW w:w="708" w:type="dxa"/>
            <w:tcBorders>
              <w:left w:val="nil"/>
              <w:bottom w:val="single" w:sz="4" w:space="0" w:color="auto"/>
              <w:right w:val="nil"/>
            </w:tcBorders>
            <w:shd w:val="clear" w:color="auto" w:fill="4F81BD"/>
            <w:noWrap/>
            <w:vAlign w:val="center"/>
            <w:hideMark/>
          </w:tcPr>
          <w:p w14:paraId="7D420BED" w14:textId="77777777" w:rsidR="00F96509" w:rsidRPr="005E08A9" w:rsidRDefault="00F96509" w:rsidP="00BD4295">
            <w:pPr>
              <w:jc w:val="left"/>
              <w:rPr>
                <w:b/>
                <w:bCs/>
                <w:noProof/>
                <w:color w:val="FFFFFF"/>
                <w:sz w:val="20"/>
                <w:szCs w:val="20"/>
              </w:rPr>
            </w:pPr>
            <w:r>
              <w:rPr>
                <w:b/>
                <w:noProof/>
                <w:color w:val="FFFFFF"/>
                <w:sz w:val="20"/>
              </w:rPr>
              <w:t>% de toutes les participations</w:t>
            </w:r>
          </w:p>
        </w:tc>
        <w:tc>
          <w:tcPr>
            <w:tcW w:w="1017" w:type="dxa"/>
            <w:tcBorders>
              <w:left w:val="nil"/>
              <w:bottom w:val="single" w:sz="4" w:space="0" w:color="auto"/>
              <w:right w:val="nil"/>
            </w:tcBorders>
            <w:shd w:val="clear" w:color="auto" w:fill="4F81BD"/>
            <w:noWrap/>
            <w:vAlign w:val="center"/>
            <w:hideMark/>
          </w:tcPr>
          <w:p w14:paraId="69D072D0" w14:textId="77777777" w:rsidR="00F96509" w:rsidRPr="005E08A9" w:rsidRDefault="00F96509" w:rsidP="00BD4295">
            <w:pPr>
              <w:jc w:val="left"/>
              <w:rPr>
                <w:b/>
                <w:bCs/>
                <w:noProof/>
                <w:color w:val="FFFFFF"/>
                <w:sz w:val="20"/>
                <w:szCs w:val="20"/>
              </w:rPr>
            </w:pPr>
            <w:r>
              <w:rPr>
                <w:b/>
                <w:noProof/>
                <w:color w:val="FFFFFF"/>
                <w:sz w:val="20"/>
              </w:rPr>
              <w:t>Contribution de l’Union à des conventions de subvention signées (en Mio EUR)</w:t>
            </w:r>
          </w:p>
        </w:tc>
        <w:tc>
          <w:tcPr>
            <w:tcW w:w="1070" w:type="dxa"/>
            <w:tcBorders>
              <w:left w:val="nil"/>
              <w:bottom w:val="single" w:sz="4" w:space="0" w:color="auto"/>
            </w:tcBorders>
            <w:shd w:val="clear" w:color="auto" w:fill="4F81BD"/>
            <w:noWrap/>
            <w:vAlign w:val="center"/>
            <w:hideMark/>
          </w:tcPr>
          <w:p w14:paraId="7CD18F2B" w14:textId="77777777" w:rsidR="00F96509" w:rsidRPr="005E08A9" w:rsidRDefault="00F96509" w:rsidP="00BD4295">
            <w:pPr>
              <w:jc w:val="left"/>
              <w:rPr>
                <w:b/>
                <w:bCs/>
                <w:noProof/>
                <w:color w:val="FFFFFF"/>
                <w:sz w:val="20"/>
                <w:szCs w:val="20"/>
              </w:rPr>
            </w:pPr>
            <w:r>
              <w:rPr>
                <w:b/>
                <w:noProof/>
                <w:color w:val="FFFFFF"/>
                <w:sz w:val="20"/>
              </w:rPr>
              <w:t>% de la contribution totale de l’Union aux conventions de subvention signées</w:t>
            </w:r>
          </w:p>
          <w:p w14:paraId="0E6E5D42" w14:textId="77777777" w:rsidR="00F96509" w:rsidRPr="005E08A9" w:rsidRDefault="00F96509" w:rsidP="00BD4295">
            <w:pPr>
              <w:jc w:val="left"/>
              <w:rPr>
                <w:b/>
                <w:bCs/>
                <w:noProof/>
                <w:color w:val="FFFFFF"/>
                <w:sz w:val="20"/>
                <w:szCs w:val="20"/>
              </w:rPr>
            </w:pPr>
          </w:p>
        </w:tc>
      </w:tr>
      <w:tr w:rsidR="00F96509" w:rsidRPr="005E08A9" w14:paraId="597A6665" w14:textId="77777777" w:rsidTr="5974E4A5">
        <w:trPr>
          <w:trHeight w:val="246"/>
        </w:trPr>
        <w:tc>
          <w:tcPr>
            <w:tcW w:w="2093" w:type="dxa"/>
            <w:tcBorders>
              <w:top w:val="single" w:sz="4" w:space="0" w:color="auto"/>
              <w:bottom w:val="single" w:sz="4" w:space="0" w:color="auto"/>
            </w:tcBorders>
            <w:noWrap/>
            <w:vAlign w:val="bottom"/>
          </w:tcPr>
          <w:p w14:paraId="019C7655" w14:textId="77777777" w:rsidR="00F96509" w:rsidRPr="005E08A9" w:rsidRDefault="00F96509" w:rsidP="00CE4E4E">
            <w:pPr>
              <w:rPr>
                <w:noProof/>
                <w:color w:val="000000"/>
              </w:rPr>
            </w:pPr>
            <w:r>
              <w:rPr>
                <w:noProof/>
                <w:color w:val="000000"/>
              </w:rPr>
              <w:t>États membres</w:t>
            </w:r>
          </w:p>
        </w:tc>
        <w:tc>
          <w:tcPr>
            <w:tcW w:w="1391" w:type="dxa"/>
            <w:tcBorders>
              <w:top w:val="single" w:sz="4" w:space="0" w:color="auto"/>
              <w:bottom w:val="single" w:sz="4" w:space="0" w:color="auto"/>
            </w:tcBorders>
            <w:noWrap/>
          </w:tcPr>
          <w:p w14:paraId="6A743B05" w14:textId="77777777" w:rsidR="00F96509" w:rsidRPr="005E08A9" w:rsidRDefault="00F96509" w:rsidP="00CE4E4E">
            <w:pPr>
              <w:rPr>
                <w:noProof/>
              </w:rPr>
            </w:pPr>
            <w:r>
              <w:rPr>
                <w:noProof/>
              </w:rPr>
              <w:t>518 481</w:t>
            </w:r>
          </w:p>
        </w:tc>
        <w:tc>
          <w:tcPr>
            <w:tcW w:w="1047" w:type="dxa"/>
            <w:tcBorders>
              <w:top w:val="single" w:sz="4" w:space="0" w:color="auto"/>
              <w:bottom w:val="single" w:sz="4" w:space="0" w:color="auto"/>
            </w:tcBorders>
            <w:noWrap/>
          </w:tcPr>
          <w:p w14:paraId="08092C1A" w14:textId="77777777" w:rsidR="00F96509" w:rsidRPr="005E08A9" w:rsidRDefault="00F96509" w:rsidP="00CE4E4E">
            <w:pPr>
              <w:rPr>
                <w:noProof/>
              </w:rPr>
            </w:pPr>
            <w:r>
              <w:rPr>
                <w:noProof/>
              </w:rPr>
              <w:t xml:space="preserve">80 % </w:t>
            </w:r>
          </w:p>
        </w:tc>
        <w:tc>
          <w:tcPr>
            <w:tcW w:w="1106" w:type="dxa"/>
            <w:tcBorders>
              <w:top w:val="single" w:sz="4" w:space="0" w:color="auto"/>
              <w:bottom w:val="single" w:sz="4" w:space="0" w:color="auto"/>
            </w:tcBorders>
          </w:tcPr>
          <w:p w14:paraId="62ED94FF" w14:textId="77777777" w:rsidR="00F96509" w:rsidRPr="005E08A9" w:rsidRDefault="00F96509" w:rsidP="00CE4E4E">
            <w:pPr>
              <w:rPr>
                <w:noProof/>
              </w:rPr>
            </w:pPr>
            <w:r>
              <w:rPr>
                <w:noProof/>
              </w:rPr>
              <w:t>18 %</w:t>
            </w:r>
          </w:p>
        </w:tc>
        <w:tc>
          <w:tcPr>
            <w:tcW w:w="1134" w:type="dxa"/>
            <w:tcBorders>
              <w:top w:val="single" w:sz="4" w:space="0" w:color="auto"/>
              <w:bottom w:val="single" w:sz="4" w:space="0" w:color="auto"/>
            </w:tcBorders>
            <w:noWrap/>
          </w:tcPr>
          <w:p w14:paraId="4F79D347" w14:textId="77777777" w:rsidR="00F96509" w:rsidRPr="005E08A9" w:rsidRDefault="00F96509" w:rsidP="00CE4E4E">
            <w:pPr>
              <w:rPr>
                <w:noProof/>
              </w:rPr>
            </w:pPr>
            <w:r>
              <w:rPr>
                <w:noProof/>
              </w:rPr>
              <w:t>99 895</w:t>
            </w:r>
          </w:p>
        </w:tc>
        <w:tc>
          <w:tcPr>
            <w:tcW w:w="708" w:type="dxa"/>
            <w:tcBorders>
              <w:top w:val="single" w:sz="4" w:space="0" w:color="auto"/>
              <w:bottom w:val="single" w:sz="4" w:space="0" w:color="auto"/>
            </w:tcBorders>
            <w:noWrap/>
          </w:tcPr>
          <w:p w14:paraId="0FAB2011" w14:textId="77777777" w:rsidR="00F96509" w:rsidRPr="005E08A9" w:rsidRDefault="00F96509" w:rsidP="00CE4E4E">
            <w:pPr>
              <w:rPr>
                <w:noProof/>
              </w:rPr>
            </w:pPr>
            <w:r>
              <w:rPr>
                <w:noProof/>
              </w:rPr>
              <w:t>83 %</w:t>
            </w:r>
          </w:p>
        </w:tc>
        <w:tc>
          <w:tcPr>
            <w:tcW w:w="1017" w:type="dxa"/>
            <w:tcBorders>
              <w:top w:val="single" w:sz="4" w:space="0" w:color="auto"/>
              <w:bottom w:val="single" w:sz="4" w:space="0" w:color="auto"/>
            </w:tcBorders>
            <w:noWrap/>
          </w:tcPr>
          <w:p w14:paraId="32F9D46A" w14:textId="77777777" w:rsidR="00F96509" w:rsidRPr="005E08A9" w:rsidRDefault="00F96509" w:rsidP="00CE4E4E">
            <w:pPr>
              <w:rPr>
                <w:noProof/>
                <w:color w:val="000000"/>
              </w:rPr>
            </w:pPr>
            <w:r>
              <w:rPr>
                <w:noProof/>
              </w:rPr>
              <w:t>47 292</w:t>
            </w:r>
          </w:p>
        </w:tc>
        <w:tc>
          <w:tcPr>
            <w:tcW w:w="1070" w:type="dxa"/>
            <w:tcBorders>
              <w:top w:val="single" w:sz="4" w:space="0" w:color="auto"/>
              <w:left w:val="nil"/>
              <w:bottom w:val="single" w:sz="4" w:space="0" w:color="auto"/>
              <w:right w:val="single" w:sz="4" w:space="0" w:color="auto"/>
            </w:tcBorders>
            <w:noWrap/>
          </w:tcPr>
          <w:p w14:paraId="3556AEBD" w14:textId="77777777" w:rsidR="00F96509" w:rsidRPr="005E08A9" w:rsidRDefault="00F96509" w:rsidP="00CE4E4E">
            <w:pPr>
              <w:rPr>
                <w:noProof/>
              </w:rPr>
            </w:pPr>
            <w:r>
              <w:rPr>
                <w:noProof/>
              </w:rPr>
              <w:t>89 %</w:t>
            </w:r>
          </w:p>
        </w:tc>
      </w:tr>
      <w:tr w:rsidR="00F96509" w:rsidRPr="005E08A9" w14:paraId="6D81F5F8" w14:textId="77777777" w:rsidTr="5974E4A5">
        <w:trPr>
          <w:trHeight w:val="246"/>
        </w:trPr>
        <w:tc>
          <w:tcPr>
            <w:tcW w:w="2093" w:type="dxa"/>
            <w:tcBorders>
              <w:top w:val="single" w:sz="4" w:space="0" w:color="auto"/>
              <w:bottom w:val="single" w:sz="4" w:space="0" w:color="auto"/>
            </w:tcBorders>
            <w:noWrap/>
            <w:vAlign w:val="bottom"/>
          </w:tcPr>
          <w:p w14:paraId="47B71372" w14:textId="6591FD74" w:rsidR="00F96509" w:rsidRPr="005E08A9" w:rsidRDefault="00F96509" w:rsidP="00CE4E4E">
            <w:pPr>
              <w:rPr>
                <w:i/>
                <w:noProof/>
                <w:color w:val="000000"/>
              </w:rPr>
            </w:pPr>
            <w:r>
              <w:rPr>
                <w:i/>
                <w:noProof/>
                <w:color w:val="000000"/>
              </w:rPr>
              <w:t>Pays ne bénéficiant pas de l’élargissement de la participation au programme</w:t>
            </w:r>
          </w:p>
        </w:tc>
        <w:tc>
          <w:tcPr>
            <w:tcW w:w="1391" w:type="dxa"/>
            <w:tcBorders>
              <w:top w:val="single" w:sz="4" w:space="0" w:color="auto"/>
              <w:bottom w:val="single" w:sz="4" w:space="0" w:color="auto"/>
            </w:tcBorders>
            <w:noWrap/>
          </w:tcPr>
          <w:p w14:paraId="5571E5B0" w14:textId="77777777" w:rsidR="00F96509" w:rsidRPr="005E08A9" w:rsidRDefault="00F96509" w:rsidP="00CE4E4E">
            <w:pPr>
              <w:rPr>
                <w:i/>
                <w:noProof/>
                <w:highlight w:val="cyan"/>
              </w:rPr>
            </w:pPr>
            <w:r>
              <w:rPr>
                <w:noProof/>
              </w:rPr>
              <w:t>395 074</w:t>
            </w:r>
          </w:p>
        </w:tc>
        <w:tc>
          <w:tcPr>
            <w:tcW w:w="1047" w:type="dxa"/>
            <w:tcBorders>
              <w:top w:val="single" w:sz="4" w:space="0" w:color="auto"/>
              <w:bottom w:val="single" w:sz="4" w:space="0" w:color="auto"/>
            </w:tcBorders>
            <w:noWrap/>
          </w:tcPr>
          <w:p w14:paraId="0D8572A6" w14:textId="77777777" w:rsidR="00F96509" w:rsidRPr="005E08A9" w:rsidRDefault="00F96509" w:rsidP="5974E4A5">
            <w:pPr>
              <w:rPr>
                <w:i/>
                <w:iCs/>
                <w:noProof/>
              </w:rPr>
            </w:pPr>
            <w:r>
              <w:rPr>
                <w:noProof/>
              </w:rPr>
              <w:t xml:space="preserve">61 % </w:t>
            </w:r>
          </w:p>
        </w:tc>
        <w:tc>
          <w:tcPr>
            <w:tcW w:w="1106" w:type="dxa"/>
            <w:tcBorders>
              <w:top w:val="single" w:sz="4" w:space="0" w:color="auto"/>
              <w:bottom w:val="single" w:sz="4" w:space="0" w:color="auto"/>
            </w:tcBorders>
          </w:tcPr>
          <w:p w14:paraId="538BF862" w14:textId="77777777" w:rsidR="00F96509" w:rsidRPr="005E08A9" w:rsidRDefault="00F96509" w:rsidP="5974E4A5">
            <w:pPr>
              <w:rPr>
                <w:i/>
                <w:iCs/>
                <w:noProof/>
              </w:rPr>
            </w:pPr>
            <w:r>
              <w:rPr>
                <w:noProof/>
              </w:rPr>
              <w:t xml:space="preserve">19 % </w:t>
            </w:r>
          </w:p>
        </w:tc>
        <w:tc>
          <w:tcPr>
            <w:tcW w:w="1134" w:type="dxa"/>
            <w:tcBorders>
              <w:top w:val="single" w:sz="4" w:space="0" w:color="auto"/>
              <w:bottom w:val="single" w:sz="4" w:space="0" w:color="auto"/>
            </w:tcBorders>
            <w:noWrap/>
          </w:tcPr>
          <w:p w14:paraId="3BC4BCA4" w14:textId="77777777" w:rsidR="00F96509" w:rsidRPr="005E08A9" w:rsidRDefault="00F96509" w:rsidP="00CE4E4E">
            <w:pPr>
              <w:rPr>
                <w:i/>
                <w:noProof/>
              </w:rPr>
            </w:pPr>
            <w:r>
              <w:rPr>
                <w:noProof/>
              </w:rPr>
              <w:t>79 093</w:t>
            </w:r>
          </w:p>
        </w:tc>
        <w:tc>
          <w:tcPr>
            <w:tcW w:w="708" w:type="dxa"/>
            <w:tcBorders>
              <w:top w:val="single" w:sz="4" w:space="0" w:color="auto"/>
              <w:bottom w:val="single" w:sz="4" w:space="0" w:color="auto"/>
            </w:tcBorders>
            <w:noWrap/>
          </w:tcPr>
          <w:p w14:paraId="0585AEC8" w14:textId="77777777" w:rsidR="00F96509" w:rsidRPr="005E08A9" w:rsidRDefault="00F96509" w:rsidP="00CE4E4E">
            <w:pPr>
              <w:rPr>
                <w:i/>
                <w:noProof/>
              </w:rPr>
            </w:pPr>
            <w:r>
              <w:rPr>
                <w:noProof/>
              </w:rPr>
              <w:t>66 %</w:t>
            </w:r>
          </w:p>
        </w:tc>
        <w:tc>
          <w:tcPr>
            <w:tcW w:w="1017" w:type="dxa"/>
            <w:tcBorders>
              <w:top w:val="single" w:sz="4" w:space="0" w:color="auto"/>
              <w:bottom w:val="single" w:sz="4" w:space="0" w:color="auto"/>
            </w:tcBorders>
            <w:noWrap/>
          </w:tcPr>
          <w:p w14:paraId="748EE1E8" w14:textId="77777777" w:rsidR="00F96509" w:rsidRPr="005E08A9" w:rsidRDefault="00F96509" w:rsidP="00CE4E4E">
            <w:pPr>
              <w:rPr>
                <w:i/>
                <w:noProof/>
                <w:color w:val="000000"/>
              </w:rPr>
            </w:pPr>
            <w:r>
              <w:rPr>
                <w:noProof/>
              </w:rPr>
              <w:t>40 371</w:t>
            </w:r>
          </w:p>
        </w:tc>
        <w:tc>
          <w:tcPr>
            <w:tcW w:w="1070" w:type="dxa"/>
            <w:tcBorders>
              <w:top w:val="single" w:sz="4" w:space="0" w:color="auto"/>
              <w:left w:val="nil"/>
              <w:bottom w:val="single" w:sz="4" w:space="0" w:color="auto"/>
              <w:right w:val="single" w:sz="4" w:space="0" w:color="auto"/>
            </w:tcBorders>
            <w:noWrap/>
          </w:tcPr>
          <w:p w14:paraId="287D646A" w14:textId="77777777" w:rsidR="00F96509" w:rsidRPr="005E08A9" w:rsidRDefault="00F96509" w:rsidP="00CE4E4E">
            <w:pPr>
              <w:rPr>
                <w:i/>
                <w:noProof/>
              </w:rPr>
            </w:pPr>
            <w:r>
              <w:rPr>
                <w:noProof/>
              </w:rPr>
              <w:t>76 %</w:t>
            </w:r>
          </w:p>
        </w:tc>
      </w:tr>
      <w:tr w:rsidR="00F96509" w:rsidRPr="005E08A9" w14:paraId="5E14C486" w14:textId="77777777" w:rsidTr="5974E4A5">
        <w:trPr>
          <w:trHeight w:val="246"/>
        </w:trPr>
        <w:tc>
          <w:tcPr>
            <w:tcW w:w="2093" w:type="dxa"/>
            <w:tcBorders>
              <w:top w:val="single" w:sz="4" w:space="0" w:color="auto"/>
              <w:bottom w:val="single" w:sz="4" w:space="0" w:color="auto"/>
            </w:tcBorders>
            <w:noWrap/>
            <w:vAlign w:val="bottom"/>
          </w:tcPr>
          <w:p w14:paraId="2DC62587" w14:textId="3FC25B8A" w:rsidR="00F96509" w:rsidRPr="005E08A9" w:rsidRDefault="00F96509" w:rsidP="00CE4E4E">
            <w:pPr>
              <w:rPr>
                <w:i/>
                <w:noProof/>
                <w:color w:val="000000"/>
              </w:rPr>
            </w:pPr>
            <w:r>
              <w:rPr>
                <w:i/>
                <w:noProof/>
                <w:color w:val="000000"/>
              </w:rPr>
              <w:t>Pays bénéficiant de l’élargissement de la participation au programme</w:t>
            </w:r>
          </w:p>
        </w:tc>
        <w:tc>
          <w:tcPr>
            <w:tcW w:w="1391" w:type="dxa"/>
            <w:tcBorders>
              <w:top w:val="single" w:sz="4" w:space="0" w:color="auto"/>
              <w:bottom w:val="single" w:sz="4" w:space="0" w:color="auto"/>
            </w:tcBorders>
            <w:noWrap/>
          </w:tcPr>
          <w:p w14:paraId="259A7E64" w14:textId="77777777" w:rsidR="00F96509" w:rsidRPr="005E08A9" w:rsidRDefault="00F96509" w:rsidP="00CE4E4E">
            <w:pPr>
              <w:rPr>
                <w:i/>
                <w:noProof/>
                <w:highlight w:val="cyan"/>
              </w:rPr>
            </w:pPr>
            <w:r>
              <w:rPr>
                <w:noProof/>
              </w:rPr>
              <w:t>123 407</w:t>
            </w:r>
          </w:p>
        </w:tc>
        <w:tc>
          <w:tcPr>
            <w:tcW w:w="1047" w:type="dxa"/>
            <w:tcBorders>
              <w:top w:val="single" w:sz="4" w:space="0" w:color="auto"/>
              <w:bottom w:val="single" w:sz="4" w:space="0" w:color="auto"/>
            </w:tcBorders>
            <w:noWrap/>
          </w:tcPr>
          <w:p w14:paraId="32EF8DB5" w14:textId="77777777" w:rsidR="00F96509" w:rsidRPr="005E08A9" w:rsidRDefault="00F96509" w:rsidP="5974E4A5">
            <w:pPr>
              <w:rPr>
                <w:i/>
                <w:iCs/>
                <w:noProof/>
              </w:rPr>
            </w:pPr>
            <w:r>
              <w:rPr>
                <w:noProof/>
              </w:rPr>
              <w:t xml:space="preserve">19 % </w:t>
            </w:r>
          </w:p>
        </w:tc>
        <w:tc>
          <w:tcPr>
            <w:tcW w:w="1106" w:type="dxa"/>
            <w:tcBorders>
              <w:top w:val="single" w:sz="4" w:space="0" w:color="auto"/>
              <w:bottom w:val="single" w:sz="4" w:space="0" w:color="auto"/>
            </w:tcBorders>
          </w:tcPr>
          <w:p w14:paraId="2B1C2841" w14:textId="77777777" w:rsidR="00F96509" w:rsidRPr="005E08A9" w:rsidRDefault="00F96509" w:rsidP="5974E4A5">
            <w:pPr>
              <w:rPr>
                <w:i/>
                <w:iCs/>
                <w:noProof/>
              </w:rPr>
            </w:pPr>
            <w:r>
              <w:rPr>
                <w:noProof/>
              </w:rPr>
              <w:t>16 %</w:t>
            </w:r>
          </w:p>
        </w:tc>
        <w:tc>
          <w:tcPr>
            <w:tcW w:w="1134" w:type="dxa"/>
            <w:tcBorders>
              <w:top w:val="single" w:sz="4" w:space="0" w:color="auto"/>
              <w:bottom w:val="single" w:sz="4" w:space="0" w:color="auto"/>
            </w:tcBorders>
            <w:noWrap/>
          </w:tcPr>
          <w:p w14:paraId="724114BC" w14:textId="77777777" w:rsidR="00F96509" w:rsidRPr="005E08A9" w:rsidRDefault="00F96509" w:rsidP="00CE4E4E">
            <w:pPr>
              <w:rPr>
                <w:i/>
                <w:noProof/>
              </w:rPr>
            </w:pPr>
            <w:r>
              <w:rPr>
                <w:noProof/>
              </w:rPr>
              <w:t>20 802</w:t>
            </w:r>
          </w:p>
        </w:tc>
        <w:tc>
          <w:tcPr>
            <w:tcW w:w="708" w:type="dxa"/>
            <w:tcBorders>
              <w:top w:val="single" w:sz="4" w:space="0" w:color="auto"/>
              <w:bottom w:val="single" w:sz="4" w:space="0" w:color="auto"/>
            </w:tcBorders>
            <w:noWrap/>
          </w:tcPr>
          <w:p w14:paraId="45C5694E" w14:textId="77777777" w:rsidR="00F96509" w:rsidRPr="005E08A9" w:rsidRDefault="00F96509" w:rsidP="00CE4E4E">
            <w:pPr>
              <w:rPr>
                <w:i/>
                <w:noProof/>
              </w:rPr>
            </w:pPr>
            <w:r>
              <w:rPr>
                <w:noProof/>
              </w:rPr>
              <w:t>17 %</w:t>
            </w:r>
          </w:p>
        </w:tc>
        <w:tc>
          <w:tcPr>
            <w:tcW w:w="1017" w:type="dxa"/>
            <w:tcBorders>
              <w:top w:val="single" w:sz="4" w:space="0" w:color="auto"/>
              <w:bottom w:val="single" w:sz="4" w:space="0" w:color="auto"/>
            </w:tcBorders>
            <w:noWrap/>
          </w:tcPr>
          <w:p w14:paraId="4165BCAA" w14:textId="77777777" w:rsidR="00F96509" w:rsidRPr="005E08A9" w:rsidRDefault="00F96509" w:rsidP="00CE4E4E">
            <w:pPr>
              <w:rPr>
                <w:i/>
                <w:noProof/>
                <w:color w:val="000000"/>
              </w:rPr>
            </w:pPr>
            <w:r>
              <w:rPr>
                <w:noProof/>
              </w:rPr>
              <w:t>6 921</w:t>
            </w:r>
          </w:p>
        </w:tc>
        <w:tc>
          <w:tcPr>
            <w:tcW w:w="1070" w:type="dxa"/>
            <w:tcBorders>
              <w:top w:val="single" w:sz="4" w:space="0" w:color="auto"/>
              <w:left w:val="nil"/>
              <w:bottom w:val="single" w:sz="4" w:space="0" w:color="auto"/>
              <w:right w:val="single" w:sz="4" w:space="0" w:color="auto"/>
            </w:tcBorders>
            <w:noWrap/>
          </w:tcPr>
          <w:p w14:paraId="77038BBD" w14:textId="77777777" w:rsidR="00F96509" w:rsidRPr="005E08A9" w:rsidRDefault="00F96509" w:rsidP="00CE4E4E">
            <w:pPr>
              <w:rPr>
                <w:i/>
                <w:noProof/>
              </w:rPr>
            </w:pPr>
            <w:r>
              <w:rPr>
                <w:noProof/>
              </w:rPr>
              <w:t>13 %</w:t>
            </w:r>
          </w:p>
        </w:tc>
      </w:tr>
      <w:tr w:rsidR="00F96509" w:rsidRPr="005E08A9" w14:paraId="43ABBEC3" w14:textId="77777777" w:rsidTr="5974E4A5">
        <w:trPr>
          <w:trHeight w:val="246"/>
        </w:trPr>
        <w:tc>
          <w:tcPr>
            <w:tcW w:w="2093" w:type="dxa"/>
            <w:tcBorders>
              <w:top w:val="single" w:sz="4" w:space="0" w:color="auto"/>
              <w:bottom w:val="single" w:sz="4" w:space="0" w:color="auto"/>
            </w:tcBorders>
            <w:noWrap/>
            <w:vAlign w:val="bottom"/>
          </w:tcPr>
          <w:p w14:paraId="5DC4340D" w14:textId="21CBB4C6" w:rsidR="00F96509" w:rsidRPr="005E08A9" w:rsidRDefault="00F96509" w:rsidP="00CE4E4E">
            <w:pPr>
              <w:rPr>
                <w:noProof/>
                <w:color w:val="000000"/>
              </w:rPr>
            </w:pPr>
            <w:r>
              <w:rPr>
                <w:noProof/>
                <w:color w:val="000000"/>
              </w:rPr>
              <w:t>Pays associé (sans la Suisse)</w:t>
            </w:r>
          </w:p>
        </w:tc>
        <w:tc>
          <w:tcPr>
            <w:tcW w:w="1391" w:type="dxa"/>
            <w:tcBorders>
              <w:top w:val="single" w:sz="4" w:space="0" w:color="auto"/>
              <w:bottom w:val="single" w:sz="4" w:space="0" w:color="auto"/>
            </w:tcBorders>
            <w:noWrap/>
          </w:tcPr>
          <w:p w14:paraId="4B0DBBBA" w14:textId="77777777" w:rsidR="00F96509" w:rsidRPr="005E08A9" w:rsidRDefault="00F96509" w:rsidP="00CE4E4E">
            <w:pPr>
              <w:rPr>
                <w:noProof/>
                <w:highlight w:val="cyan"/>
              </w:rPr>
            </w:pPr>
            <w:r>
              <w:rPr>
                <w:noProof/>
              </w:rPr>
              <w:t>61 637</w:t>
            </w:r>
          </w:p>
        </w:tc>
        <w:tc>
          <w:tcPr>
            <w:tcW w:w="1047" w:type="dxa"/>
            <w:tcBorders>
              <w:top w:val="single" w:sz="4" w:space="0" w:color="auto"/>
              <w:bottom w:val="single" w:sz="4" w:space="0" w:color="auto"/>
            </w:tcBorders>
            <w:noWrap/>
          </w:tcPr>
          <w:p w14:paraId="68E7A2B6" w14:textId="77777777" w:rsidR="00F96509" w:rsidRPr="005E08A9" w:rsidRDefault="00F96509" w:rsidP="5974E4A5">
            <w:pPr>
              <w:rPr>
                <w:noProof/>
              </w:rPr>
            </w:pPr>
            <w:r>
              <w:rPr>
                <w:noProof/>
              </w:rPr>
              <w:t xml:space="preserve">10 % </w:t>
            </w:r>
          </w:p>
        </w:tc>
        <w:tc>
          <w:tcPr>
            <w:tcW w:w="1106" w:type="dxa"/>
            <w:tcBorders>
              <w:top w:val="single" w:sz="4" w:space="0" w:color="auto"/>
              <w:bottom w:val="single" w:sz="4" w:space="0" w:color="auto"/>
            </w:tcBorders>
          </w:tcPr>
          <w:p w14:paraId="195A1FA6" w14:textId="77777777" w:rsidR="00F96509" w:rsidRPr="005E08A9" w:rsidRDefault="00F96509" w:rsidP="5974E4A5">
            <w:pPr>
              <w:rPr>
                <w:noProof/>
              </w:rPr>
            </w:pPr>
            <w:r>
              <w:rPr>
                <w:noProof/>
              </w:rPr>
              <w:t>15 %</w:t>
            </w:r>
          </w:p>
        </w:tc>
        <w:tc>
          <w:tcPr>
            <w:tcW w:w="1134" w:type="dxa"/>
            <w:tcBorders>
              <w:top w:val="single" w:sz="4" w:space="0" w:color="auto"/>
              <w:bottom w:val="single" w:sz="4" w:space="0" w:color="auto"/>
            </w:tcBorders>
            <w:noWrap/>
          </w:tcPr>
          <w:p w14:paraId="317CDCA0" w14:textId="77777777" w:rsidR="00F96509" w:rsidRPr="005E08A9" w:rsidRDefault="00F96509" w:rsidP="00CE4E4E">
            <w:pPr>
              <w:rPr>
                <w:noProof/>
              </w:rPr>
            </w:pPr>
            <w:r>
              <w:rPr>
                <w:noProof/>
              </w:rPr>
              <w:t>8 613</w:t>
            </w:r>
          </w:p>
        </w:tc>
        <w:tc>
          <w:tcPr>
            <w:tcW w:w="708" w:type="dxa"/>
            <w:tcBorders>
              <w:top w:val="single" w:sz="4" w:space="0" w:color="auto"/>
              <w:bottom w:val="single" w:sz="4" w:space="0" w:color="auto"/>
            </w:tcBorders>
            <w:noWrap/>
          </w:tcPr>
          <w:p w14:paraId="1E28BE3E" w14:textId="77777777" w:rsidR="00F96509" w:rsidRPr="005E08A9" w:rsidRDefault="00F96509" w:rsidP="00CE4E4E">
            <w:pPr>
              <w:rPr>
                <w:noProof/>
              </w:rPr>
            </w:pPr>
            <w:r>
              <w:rPr>
                <w:noProof/>
              </w:rPr>
              <w:t>7 %</w:t>
            </w:r>
          </w:p>
        </w:tc>
        <w:tc>
          <w:tcPr>
            <w:tcW w:w="1017" w:type="dxa"/>
            <w:tcBorders>
              <w:top w:val="single" w:sz="4" w:space="0" w:color="auto"/>
              <w:bottom w:val="single" w:sz="4" w:space="0" w:color="auto"/>
            </w:tcBorders>
            <w:noWrap/>
          </w:tcPr>
          <w:p w14:paraId="1C171B61" w14:textId="77777777" w:rsidR="00F96509" w:rsidRPr="005E08A9" w:rsidRDefault="00F96509" w:rsidP="00CE4E4E">
            <w:pPr>
              <w:rPr>
                <w:noProof/>
                <w:color w:val="000000"/>
              </w:rPr>
            </w:pPr>
            <w:r>
              <w:rPr>
                <w:noProof/>
                <w:color w:val="000000"/>
              </w:rPr>
              <w:t>4 470</w:t>
            </w:r>
          </w:p>
        </w:tc>
        <w:tc>
          <w:tcPr>
            <w:tcW w:w="1070" w:type="dxa"/>
            <w:tcBorders>
              <w:top w:val="single" w:sz="4" w:space="0" w:color="auto"/>
              <w:left w:val="nil"/>
              <w:bottom w:val="single" w:sz="4" w:space="0" w:color="auto"/>
              <w:right w:val="single" w:sz="4" w:space="0" w:color="auto"/>
            </w:tcBorders>
            <w:noWrap/>
          </w:tcPr>
          <w:p w14:paraId="3D821D53" w14:textId="77777777" w:rsidR="00F96509" w:rsidRPr="005E08A9" w:rsidRDefault="00F96509" w:rsidP="00CE4E4E">
            <w:pPr>
              <w:rPr>
                <w:noProof/>
              </w:rPr>
            </w:pPr>
            <w:r>
              <w:rPr>
                <w:noProof/>
              </w:rPr>
              <w:t>8,5 %</w:t>
            </w:r>
          </w:p>
        </w:tc>
      </w:tr>
      <w:tr w:rsidR="00F96509" w:rsidRPr="005E08A9" w14:paraId="49E3826A" w14:textId="77777777" w:rsidTr="5974E4A5">
        <w:trPr>
          <w:trHeight w:val="246"/>
        </w:trPr>
        <w:tc>
          <w:tcPr>
            <w:tcW w:w="2093" w:type="dxa"/>
            <w:tcBorders>
              <w:top w:val="nil"/>
              <w:left w:val="single" w:sz="4" w:space="0" w:color="auto"/>
              <w:bottom w:val="single" w:sz="4" w:space="0" w:color="auto"/>
              <w:right w:val="single" w:sz="4" w:space="0" w:color="auto"/>
            </w:tcBorders>
            <w:noWrap/>
            <w:vAlign w:val="center"/>
          </w:tcPr>
          <w:p w14:paraId="2EC20EDD" w14:textId="1C76031C" w:rsidR="00F96509" w:rsidRPr="005E08A9" w:rsidRDefault="004B44F7" w:rsidP="00CE4E4E">
            <w:pPr>
              <w:rPr>
                <w:noProof/>
                <w:color w:val="000000"/>
              </w:rPr>
            </w:pPr>
            <w:r>
              <w:rPr>
                <w:noProof/>
                <w:color w:val="000000"/>
              </w:rPr>
              <w:t>Suisse – pays associé</w:t>
            </w:r>
          </w:p>
        </w:tc>
        <w:tc>
          <w:tcPr>
            <w:tcW w:w="1391" w:type="dxa"/>
            <w:tcBorders>
              <w:top w:val="single" w:sz="4" w:space="0" w:color="auto"/>
              <w:left w:val="single" w:sz="4" w:space="0" w:color="auto"/>
              <w:bottom w:val="single" w:sz="4" w:space="0" w:color="auto"/>
            </w:tcBorders>
            <w:noWrap/>
          </w:tcPr>
          <w:p w14:paraId="65C10DD3" w14:textId="77777777" w:rsidR="00F96509" w:rsidRPr="005E08A9" w:rsidRDefault="00F96509" w:rsidP="00CE4E4E">
            <w:pPr>
              <w:rPr>
                <w:noProof/>
                <w:highlight w:val="cyan"/>
              </w:rPr>
            </w:pPr>
            <w:r>
              <w:rPr>
                <w:noProof/>
              </w:rPr>
              <w:t>2 690</w:t>
            </w:r>
          </w:p>
        </w:tc>
        <w:tc>
          <w:tcPr>
            <w:tcW w:w="1047" w:type="dxa"/>
            <w:tcBorders>
              <w:top w:val="single" w:sz="4" w:space="0" w:color="auto"/>
              <w:bottom w:val="single" w:sz="4" w:space="0" w:color="auto"/>
            </w:tcBorders>
            <w:noWrap/>
          </w:tcPr>
          <w:p w14:paraId="3A3C33D1" w14:textId="77777777" w:rsidR="00F96509" w:rsidRPr="005E08A9" w:rsidRDefault="00F96509" w:rsidP="00CE4E4E">
            <w:pPr>
              <w:rPr>
                <w:noProof/>
                <w:highlight w:val="cyan"/>
              </w:rPr>
            </w:pPr>
            <w:r>
              <w:rPr>
                <w:noProof/>
              </w:rPr>
              <w:t>0,4 %</w:t>
            </w:r>
          </w:p>
        </w:tc>
        <w:tc>
          <w:tcPr>
            <w:tcW w:w="1106" w:type="dxa"/>
            <w:tcBorders>
              <w:top w:val="single" w:sz="4" w:space="0" w:color="auto"/>
              <w:bottom w:val="single" w:sz="4" w:space="0" w:color="auto"/>
            </w:tcBorders>
          </w:tcPr>
          <w:p w14:paraId="329C9C70" w14:textId="77777777" w:rsidR="00F96509" w:rsidRPr="005E08A9" w:rsidRDefault="00F96509" w:rsidP="00CE4E4E">
            <w:pPr>
              <w:rPr>
                <w:noProof/>
                <w:highlight w:val="cyan"/>
              </w:rPr>
            </w:pPr>
            <w:r>
              <w:rPr>
                <w:noProof/>
              </w:rPr>
              <w:t>14 %</w:t>
            </w:r>
          </w:p>
        </w:tc>
        <w:tc>
          <w:tcPr>
            <w:tcW w:w="1134" w:type="dxa"/>
            <w:tcBorders>
              <w:top w:val="single" w:sz="4" w:space="0" w:color="auto"/>
              <w:bottom w:val="single" w:sz="4" w:space="0" w:color="auto"/>
            </w:tcBorders>
            <w:noWrap/>
          </w:tcPr>
          <w:p w14:paraId="3D2A416A" w14:textId="77777777" w:rsidR="00F96509" w:rsidRPr="005E08A9" w:rsidRDefault="00F96509" w:rsidP="00CE4E4E">
            <w:pPr>
              <w:rPr>
                <w:noProof/>
              </w:rPr>
            </w:pPr>
            <w:r>
              <w:rPr>
                <w:noProof/>
              </w:rPr>
              <w:t>75</w:t>
            </w:r>
          </w:p>
        </w:tc>
        <w:tc>
          <w:tcPr>
            <w:tcW w:w="708" w:type="dxa"/>
            <w:tcBorders>
              <w:top w:val="single" w:sz="4" w:space="0" w:color="auto"/>
              <w:bottom w:val="single" w:sz="4" w:space="0" w:color="auto"/>
            </w:tcBorders>
            <w:noWrap/>
          </w:tcPr>
          <w:p w14:paraId="191C5959" w14:textId="77777777" w:rsidR="00F96509" w:rsidRPr="005E08A9" w:rsidRDefault="00F96509" w:rsidP="00CE4E4E">
            <w:pPr>
              <w:rPr>
                <w:noProof/>
              </w:rPr>
            </w:pPr>
            <w:r>
              <w:rPr>
                <w:noProof/>
              </w:rPr>
              <w:t>0,1 %</w:t>
            </w:r>
          </w:p>
        </w:tc>
        <w:tc>
          <w:tcPr>
            <w:tcW w:w="1017" w:type="dxa"/>
            <w:tcBorders>
              <w:top w:val="single" w:sz="4" w:space="0" w:color="auto"/>
              <w:bottom w:val="single" w:sz="4" w:space="0" w:color="auto"/>
            </w:tcBorders>
            <w:noWrap/>
          </w:tcPr>
          <w:p w14:paraId="6F9C7D00" w14:textId="77777777" w:rsidR="00F96509" w:rsidRPr="005E08A9" w:rsidRDefault="00F96509" w:rsidP="00CE4E4E">
            <w:pPr>
              <w:rPr>
                <w:noProof/>
                <w:color w:val="000000"/>
              </w:rPr>
            </w:pPr>
            <w:r>
              <w:rPr>
                <w:noProof/>
                <w:color w:val="000000"/>
              </w:rPr>
              <w:t>92</w:t>
            </w:r>
          </w:p>
        </w:tc>
        <w:tc>
          <w:tcPr>
            <w:tcW w:w="1070" w:type="dxa"/>
            <w:tcBorders>
              <w:top w:val="single" w:sz="4" w:space="0" w:color="auto"/>
              <w:left w:val="nil"/>
              <w:bottom w:val="single" w:sz="4" w:space="0" w:color="auto"/>
              <w:right w:val="single" w:sz="4" w:space="0" w:color="auto"/>
            </w:tcBorders>
            <w:noWrap/>
          </w:tcPr>
          <w:p w14:paraId="617468C0" w14:textId="77777777" w:rsidR="00F96509" w:rsidRPr="005E08A9" w:rsidRDefault="00F96509" w:rsidP="00CE4E4E">
            <w:pPr>
              <w:rPr>
                <w:noProof/>
              </w:rPr>
            </w:pPr>
            <w:r>
              <w:rPr>
                <w:noProof/>
              </w:rPr>
              <w:t>0,2 %</w:t>
            </w:r>
          </w:p>
        </w:tc>
      </w:tr>
      <w:tr w:rsidR="00F96509" w:rsidRPr="005E08A9" w14:paraId="254D91BA" w14:textId="77777777" w:rsidTr="5974E4A5">
        <w:trPr>
          <w:trHeight w:val="246"/>
        </w:trPr>
        <w:tc>
          <w:tcPr>
            <w:tcW w:w="2093" w:type="dxa"/>
            <w:tcBorders>
              <w:top w:val="single" w:sz="4" w:space="0" w:color="auto"/>
              <w:left w:val="single" w:sz="4" w:space="0" w:color="auto"/>
              <w:bottom w:val="single" w:sz="4" w:space="0" w:color="auto"/>
              <w:right w:val="single" w:sz="4" w:space="0" w:color="auto"/>
            </w:tcBorders>
            <w:noWrap/>
            <w:vAlign w:val="center"/>
          </w:tcPr>
          <w:p w14:paraId="380EEF3B" w14:textId="2A738377" w:rsidR="00F96509" w:rsidRPr="005E08A9" w:rsidRDefault="004B44F7" w:rsidP="00CE4E4E">
            <w:pPr>
              <w:rPr>
                <w:noProof/>
                <w:color w:val="000000"/>
              </w:rPr>
            </w:pPr>
            <w:r>
              <w:rPr>
                <w:noProof/>
                <w:color w:val="000000"/>
              </w:rPr>
              <w:t>Suisse — pays tiers non associé</w:t>
            </w:r>
          </w:p>
        </w:tc>
        <w:tc>
          <w:tcPr>
            <w:tcW w:w="1391" w:type="dxa"/>
            <w:tcBorders>
              <w:top w:val="single" w:sz="4" w:space="0" w:color="auto"/>
              <w:left w:val="single" w:sz="4" w:space="0" w:color="auto"/>
              <w:bottom w:val="single" w:sz="4" w:space="0" w:color="auto"/>
            </w:tcBorders>
            <w:noWrap/>
          </w:tcPr>
          <w:p w14:paraId="2FFC724B" w14:textId="77777777" w:rsidR="00F96509" w:rsidRPr="005E08A9" w:rsidRDefault="00F96509" w:rsidP="00CE4E4E">
            <w:pPr>
              <w:rPr>
                <w:noProof/>
                <w:highlight w:val="cyan"/>
              </w:rPr>
            </w:pPr>
            <w:r>
              <w:rPr>
                <w:noProof/>
              </w:rPr>
              <w:t>12 101</w:t>
            </w:r>
          </w:p>
        </w:tc>
        <w:tc>
          <w:tcPr>
            <w:tcW w:w="1047" w:type="dxa"/>
            <w:tcBorders>
              <w:top w:val="single" w:sz="4" w:space="0" w:color="auto"/>
              <w:bottom w:val="single" w:sz="4" w:space="0" w:color="auto"/>
            </w:tcBorders>
            <w:noWrap/>
          </w:tcPr>
          <w:p w14:paraId="02B96225" w14:textId="77777777" w:rsidR="00F96509" w:rsidRPr="005E08A9" w:rsidRDefault="00F96509" w:rsidP="00CE4E4E">
            <w:pPr>
              <w:rPr>
                <w:noProof/>
                <w:highlight w:val="cyan"/>
              </w:rPr>
            </w:pPr>
            <w:r>
              <w:rPr>
                <w:noProof/>
              </w:rPr>
              <w:t>2 %</w:t>
            </w:r>
          </w:p>
        </w:tc>
        <w:tc>
          <w:tcPr>
            <w:tcW w:w="1106" w:type="dxa"/>
            <w:tcBorders>
              <w:top w:val="single" w:sz="4" w:space="0" w:color="auto"/>
              <w:bottom w:val="single" w:sz="4" w:space="0" w:color="auto"/>
            </w:tcBorders>
          </w:tcPr>
          <w:p w14:paraId="1CF6D014" w14:textId="77777777" w:rsidR="00F96509" w:rsidRPr="005E08A9" w:rsidRDefault="00F96509" w:rsidP="00CE4E4E">
            <w:pPr>
              <w:rPr>
                <w:noProof/>
                <w:highlight w:val="cyan"/>
              </w:rPr>
            </w:pPr>
            <w:r>
              <w:rPr>
                <w:noProof/>
              </w:rPr>
              <w:t>21 %</w:t>
            </w:r>
          </w:p>
        </w:tc>
        <w:tc>
          <w:tcPr>
            <w:tcW w:w="1134" w:type="dxa"/>
            <w:tcBorders>
              <w:top w:val="single" w:sz="4" w:space="0" w:color="auto"/>
              <w:bottom w:val="single" w:sz="4" w:space="0" w:color="auto"/>
            </w:tcBorders>
            <w:noWrap/>
          </w:tcPr>
          <w:p w14:paraId="4399504E" w14:textId="77777777" w:rsidR="00F96509" w:rsidRPr="005E08A9" w:rsidRDefault="00F96509" w:rsidP="00CE4E4E">
            <w:pPr>
              <w:rPr>
                <w:noProof/>
              </w:rPr>
            </w:pPr>
            <w:r>
              <w:rPr>
                <w:noProof/>
              </w:rPr>
              <w:t>2 827</w:t>
            </w:r>
          </w:p>
        </w:tc>
        <w:tc>
          <w:tcPr>
            <w:tcW w:w="708" w:type="dxa"/>
            <w:tcBorders>
              <w:top w:val="single" w:sz="4" w:space="0" w:color="auto"/>
              <w:bottom w:val="single" w:sz="4" w:space="0" w:color="auto"/>
            </w:tcBorders>
            <w:noWrap/>
          </w:tcPr>
          <w:p w14:paraId="6BAAA44A" w14:textId="77777777" w:rsidR="00F96509" w:rsidRPr="005E08A9" w:rsidRDefault="00F96509" w:rsidP="00CE4E4E">
            <w:pPr>
              <w:rPr>
                <w:noProof/>
              </w:rPr>
            </w:pPr>
            <w:r>
              <w:rPr>
                <w:noProof/>
              </w:rPr>
              <w:t>2 %</w:t>
            </w:r>
          </w:p>
        </w:tc>
        <w:tc>
          <w:tcPr>
            <w:tcW w:w="1017" w:type="dxa"/>
            <w:tcBorders>
              <w:top w:val="single" w:sz="4" w:space="0" w:color="auto"/>
              <w:bottom w:val="single" w:sz="4" w:space="0" w:color="auto"/>
            </w:tcBorders>
            <w:noWrap/>
          </w:tcPr>
          <w:p w14:paraId="0C6D9090" w14:textId="77777777" w:rsidR="00F96509" w:rsidRPr="005E08A9" w:rsidRDefault="00F96509" w:rsidP="00CE4E4E">
            <w:pPr>
              <w:rPr>
                <w:noProof/>
                <w:color w:val="000000"/>
              </w:rPr>
            </w:pPr>
            <w:r>
              <w:rPr>
                <w:noProof/>
                <w:color w:val="000000"/>
              </w:rPr>
              <w:t>126</w:t>
            </w:r>
          </w:p>
        </w:tc>
        <w:tc>
          <w:tcPr>
            <w:tcW w:w="1070" w:type="dxa"/>
            <w:tcBorders>
              <w:top w:val="single" w:sz="4" w:space="0" w:color="auto"/>
              <w:left w:val="nil"/>
              <w:bottom w:val="single" w:sz="4" w:space="0" w:color="auto"/>
              <w:right w:val="single" w:sz="4" w:space="0" w:color="auto"/>
            </w:tcBorders>
            <w:noWrap/>
          </w:tcPr>
          <w:p w14:paraId="624FAA85" w14:textId="77777777" w:rsidR="00F96509" w:rsidRPr="005E08A9" w:rsidRDefault="00F96509" w:rsidP="00CE4E4E">
            <w:pPr>
              <w:rPr>
                <w:noProof/>
              </w:rPr>
            </w:pPr>
            <w:r>
              <w:rPr>
                <w:noProof/>
              </w:rPr>
              <w:t>0,2 %</w:t>
            </w:r>
          </w:p>
        </w:tc>
      </w:tr>
      <w:tr w:rsidR="00F96509" w:rsidRPr="005E08A9" w14:paraId="7C04F077" w14:textId="77777777" w:rsidTr="5974E4A5">
        <w:trPr>
          <w:trHeight w:val="246"/>
        </w:trPr>
        <w:tc>
          <w:tcPr>
            <w:tcW w:w="2093" w:type="dxa"/>
            <w:tcBorders>
              <w:top w:val="single" w:sz="4" w:space="0" w:color="auto"/>
              <w:bottom w:val="single" w:sz="4" w:space="0" w:color="auto"/>
            </w:tcBorders>
            <w:noWrap/>
            <w:vAlign w:val="bottom"/>
          </w:tcPr>
          <w:p w14:paraId="2BDC4525" w14:textId="2C8744DF" w:rsidR="00F96509" w:rsidRPr="005E08A9" w:rsidRDefault="00F96509" w:rsidP="00CE4E4E">
            <w:pPr>
              <w:rPr>
                <w:noProof/>
                <w:color w:val="000000"/>
              </w:rPr>
            </w:pPr>
            <w:r>
              <w:rPr>
                <w:noProof/>
                <w:color w:val="000000"/>
              </w:rPr>
              <w:t>Pays tiers</w:t>
            </w:r>
          </w:p>
        </w:tc>
        <w:tc>
          <w:tcPr>
            <w:tcW w:w="1391" w:type="dxa"/>
            <w:tcBorders>
              <w:top w:val="single" w:sz="4" w:space="0" w:color="auto"/>
              <w:bottom w:val="single" w:sz="4" w:space="0" w:color="auto"/>
            </w:tcBorders>
            <w:noWrap/>
          </w:tcPr>
          <w:p w14:paraId="3C55553D" w14:textId="77777777" w:rsidR="00F96509" w:rsidRPr="005E08A9" w:rsidRDefault="00F96509" w:rsidP="00CE4E4E">
            <w:pPr>
              <w:rPr>
                <w:noProof/>
                <w:highlight w:val="cyan"/>
              </w:rPr>
            </w:pPr>
            <w:r>
              <w:rPr>
                <w:noProof/>
              </w:rPr>
              <w:t>49 748</w:t>
            </w:r>
          </w:p>
        </w:tc>
        <w:tc>
          <w:tcPr>
            <w:tcW w:w="1047" w:type="dxa"/>
            <w:tcBorders>
              <w:top w:val="single" w:sz="4" w:space="0" w:color="auto"/>
              <w:bottom w:val="single" w:sz="4" w:space="0" w:color="auto"/>
            </w:tcBorders>
            <w:noWrap/>
          </w:tcPr>
          <w:p w14:paraId="30B3D2DD" w14:textId="77777777" w:rsidR="00F96509" w:rsidRPr="005E08A9" w:rsidRDefault="00F96509" w:rsidP="00CE4E4E">
            <w:pPr>
              <w:rPr>
                <w:noProof/>
                <w:highlight w:val="cyan"/>
              </w:rPr>
            </w:pPr>
            <w:r>
              <w:rPr>
                <w:noProof/>
              </w:rPr>
              <w:t>8 %</w:t>
            </w:r>
            <w:r>
              <w:rPr>
                <w:noProof/>
                <w:highlight w:val="cyan"/>
              </w:rPr>
              <w:t xml:space="preserve"> </w:t>
            </w:r>
          </w:p>
        </w:tc>
        <w:tc>
          <w:tcPr>
            <w:tcW w:w="1106" w:type="dxa"/>
            <w:tcBorders>
              <w:top w:val="single" w:sz="4" w:space="0" w:color="auto"/>
              <w:bottom w:val="single" w:sz="4" w:space="0" w:color="auto"/>
            </w:tcBorders>
          </w:tcPr>
          <w:p w14:paraId="7DAD299F" w14:textId="77777777" w:rsidR="00F96509" w:rsidRPr="005E08A9" w:rsidRDefault="00F96509" w:rsidP="00CE4E4E">
            <w:pPr>
              <w:rPr>
                <w:noProof/>
                <w:highlight w:val="cyan"/>
              </w:rPr>
            </w:pPr>
            <w:r>
              <w:rPr>
                <w:noProof/>
              </w:rPr>
              <w:t>20 %</w:t>
            </w:r>
          </w:p>
        </w:tc>
        <w:tc>
          <w:tcPr>
            <w:tcW w:w="1134" w:type="dxa"/>
            <w:tcBorders>
              <w:top w:val="single" w:sz="4" w:space="0" w:color="auto"/>
              <w:bottom w:val="single" w:sz="4" w:space="0" w:color="auto"/>
            </w:tcBorders>
            <w:noWrap/>
          </w:tcPr>
          <w:p w14:paraId="7722A195" w14:textId="161108A6" w:rsidR="00F96509" w:rsidRPr="005E08A9" w:rsidRDefault="00F127D5" w:rsidP="00CE4E4E">
            <w:pPr>
              <w:rPr>
                <w:noProof/>
              </w:rPr>
            </w:pPr>
            <w:r>
              <w:rPr>
                <w:noProof/>
              </w:rPr>
              <w:t>9 062</w:t>
            </w:r>
          </w:p>
        </w:tc>
        <w:tc>
          <w:tcPr>
            <w:tcW w:w="708" w:type="dxa"/>
            <w:tcBorders>
              <w:top w:val="single" w:sz="4" w:space="0" w:color="auto"/>
              <w:bottom w:val="single" w:sz="4" w:space="0" w:color="auto"/>
            </w:tcBorders>
            <w:noWrap/>
          </w:tcPr>
          <w:p w14:paraId="069DD5D5" w14:textId="77777777" w:rsidR="00F96509" w:rsidRPr="005E08A9" w:rsidRDefault="00F96509" w:rsidP="00CE4E4E">
            <w:pPr>
              <w:rPr>
                <w:noProof/>
              </w:rPr>
            </w:pPr>
            <w:r>
              <w:rPr>
                <w:noProof/>
              </w:rPr>
              <w:t>7 %</w:t>
            </w:r>
          </w:p>
        </w:tc>
        <w:tc>
          <w:tcPr>
            <w:tcW w:w="1017" w:type="dxa"/>
            <w:tcBorders>
              <w:top w:val="single" w:sz="4" w:space="0" w:color="auto"/>
              <w:bottom w:val="single" w:sz="4" w:space="0" w:color="auto"/>
            </w:tcBorders>
            <w:noWrap/>
          </w:tcPr>
          <w:p w14:paraId="7020F3DD" w14:textId="77777777" w:rsidR="00F96509" w:rsidRPr="005E08A9" w:rsidRDefault="00F96509" w:rsidP="00CE4E4E">
            <w:pPr>
              <w:rPr>
                <w:noProof/>
                <w:color w:val="000000"/>
              </w:rPr>
            </w:pPr>
            <w:r>
              <w:rPr>
                <w:noProof/>
                <w:color w:val="000000"/>
              </w:rPr>
              <w:t>780</w:t>
            </w:r>
          </w:p>
        </w:tc>
        <w:tc>
          <w:tcPr>
            <w:tcW w:w="1070" w:type="dxa"/>
            <w:tcBorders>
              <w:top w:val="single" w:sz="4" w:space="0" w:color="auto"/>
              <w:left w:val="nil"/>
              <w:bottom w:val="single" w:sz="4" w:space="0" w:color="auto"/>
              <w:right w:val="single" w:sz="4" w:space="0" w:color="auto"/>
            </w:tcBorders>
            <w:noWrap/>
          </w:tcPr>
          <w:p w14:paraId="3B385AEC" w14:textId="77777777" w:rsidR="00F96509" w:rsidRPr="005E08A9" w:rsidRDefault="00F96509" w:rsidP="00CE4E4E">
            <w:pPr>
              <w:rPr>
                <w:noProof/>
              </w:rPr>
            </w:pPr>
            <w:r>
              <w:rPr>
                <w:noProof/>
              </w:rPr>
              <w:t>1 %</w:t>
            </w:r>
          </w:p>
        </w:tc>
      </w:tr>
      <w:tr w:rsidR="00F96509" w:rsidRPr="005E08A9" w14:paraId="12E17F0A" w14:textId="77777777" w:rsidTr="5974E4A5">
        <w:trPr>
          <w:trHeight w:val="246"/>
        </w:trPr>
        <w:tc>
          <w:tcPr>
            <w:tcW w:w="2093" w:type="dxa"/>
            <w:tcBorders>
              <w:top w:val="single" w:sz="4" w:space="0" w:color="auto"/>
              <w:bottom w:val="single" w:sz="4" w:space="0" w:color="auto"/>
            </w:tcBorders>
            <w:shd w:val="clear" w:color="auto" w:fill="D9D9D9" w:themeFill="background1" w:themeFillShade="D9"/>
            <w:noWrap/>
            <w:vAlign w:val="bottom"/>
          </w:tcPr>
          <w:p w14:paraId="6489F22D" w14:textId="77777777" w:rsidR="00F96509" w:rsidRPr="005E08A9" w:rsidRDefault="00F96509" w:rsidP="00CE4E4E">
            <w:pPr>
              <w:rPr>
                <w:b/>
                <w:i/>
                <w:noProof/>
                <w:color w:val="000000"/>
              </w:rPr>
            </w:pPr>
            <w:r>
              <w:rPr>
                <w:b/>
                <w:i/>
                <w:noProof/>
                <w:color w:val="000000"/>
              </w:rPr>
              <w:t>TOTAL</w:t>
            </w:r>
          </w:p>
        </w:tc>
        <w:tc>
          <w:tcPr>
            <w:tcW w:w="1391" w:type="dxa"/>
            <w:tcBorders>
              <w:top w:val="single" w:sz="4" w:space="0" w:color="auto"/>
              <w:bottom w:val="single" w:sz="4" w:space="0" w:color="auto"/>
            </w:tcBorders>
            <w:shd w:val="clear" w:color="auto" w:fill="D9D9D9" w:themeFill="background1" w:themeFillShade="D9"/>
            <w:noWrap/>
          </w:tcPr>
          <w:p w14:paraId="1B1C8663" w14:textId="77777777" w:rsidR="00F96509" w:rsidRPr="005E08A9" w:rsidRDefault="00F96509" w:rsidP="00CE4E4E">
            <w:pPr>
              <w:rPr>
                <w:b/>
                <w:bCs/>
                <w:noProof/>
                <w:color w:val="000000"/>
                <w:highlight w:val="cyan"/>
              </w:rPr>
            </w:pPr>
            <w:r>
              <w:rPr>
                <w:b/>
                <w:noProof/>
              </w:rPr>
              <w:t>644 657</w:t>
            </w:r>
          </w:p>
        </w:tc>
        <w:tc>
          <w:tcPr>
            <w:tcW w:w="1047" w:type="dxa"/>
            <w:tcBorders>
              <w:top w:val="single" w:sz="4" w:space="0" w:color="auto"/>
              <w:bottom w:val="single" w:sz="4" w:space="0" w:color="auto"/>
            </w:tcBorders>
            <w:shd w:val="clear" w:color="auto" w:fill="D9D9D9" w:themeFill="background1" w:themeFillShade="D9"/>
            <w:noWrap/>
          </w:tcPr>
          <w:p w14:paraId="305C35DE" w14:textId="77777777" w:rsidR="00F96509" w:rsidRPr="005E08A9" w:rsidRDefault="00F96509" w:rsidP="00CE4E4E">
            <w:pPr>
              <w:rPr>
                <w:b/>
                <w:bCs/>
                <w:noProof/>
                <w:color w:val="000000"/>
              </w:rPr>
            </w:pPr>
            <w:r>
              <w:rPr>
                <w:b/>
                <w:noProof/>
              </w:rPr>
              <w:t>-</w:t>
            </w:r>
          </w:p>
        </w:tc>
        <w:tc>
          <w:tcPr>
            <w:tcW w:w="1106" w:type="dxa"/>
            <w:tcBorders>
              <w:top w:val="single" w:sz="4" w:space="0" w:color="auto"/>
              <w:bottom w:val="single" w:sz="4" w:space="0" w:color="auto"/>
            </w:tcBorders>
            <w:shd w:val="clear" w:color="auto" w:fill="D9D9D9" w:themeFill="background1" w:themeFillShade="D9"/>
          </w:tcPr>
          <w:p w14:paraId="5C8B5E70" w14:textId="77777777" w:rsidR="00F96509" w:rsidRPr="005E08A9" w:rsidRDefault="00F96509" w:rsidP="00CE4E4E">
            <w:pPr>
              <w:rPr>
                <w:b/>
                <w:bCs/>
                <w:noProof/>
                <w:color w:val="000000"/>
                <w:highlight w:val="cyan"/>
              </w:rPr>
            </w:pPr>
            <w:r>
              <w:rPr>
                <w:b/>
                <w:noProof/>
              </w:rPr>
              <w:t>-</w:t>
            </w:r>
          </w:p>
        </w:tc>
        <w:tc>
          <w:tcPr>
            <w:tcW w:w="1134" w:type="dxa"/>
            <w:tcBorders>
              <w:top w:val="single" w:sz="4" w:space="0" w:color="auto"/>
              <w:bottom w:val="single" w:sz="4" w:space="0" w:color="auto"/>
            </w:tcBorders>
            <w:shd w:val="clear" w:color="auto" w:fill="D9D9D9" w:themeFill="background1" w:themeFillShade="D9"/>
            <w:noWrap/>
          </w:tcPr>
          <w:p w14:paraId="69B2D1E4" w14:textId="77777777" w:rsidR="00F96509" w:rsidRPr="005E08A9" w:rsidRDefault="00F96509" w:rsidP="00CE4E4E">
            <w:pPr>
              <w:rPr>
                <w:b/>
                <w:bCs/>
                <w:noProof/>
              </w:rPr>
            </w:pPr>
            <w:r>
              <w:rPr>
                <w:b/>
                <w:noProof/>
              </w:rPr>
              <w:t>120472</w:t>
            </w:r>
          </w:p>
        </w:tc>
        <w:tc>
          <w:tcPr>
            <w:tcW w:w="708" w:type="dxa"/>
            <w:tcBorders>
              <w:top w:val="single" w:sz="4" w:space="0" w:color="auto"/>
              <w:bottom w:val="single" w:sz="4" w:space="0" w:color="auto"/>
            </w:tcBorders>
            <w:shd w:val="clear" w:color="auto" w:fill="D9D9D9" w:themeFill="background1" w:themeFillShade="D9"/>
            <w:noWrap/>
          </w:tcPr>
          <w:p w14:paraId="0C2B048D" w14:textId="77777777" w:rsidR="00F96509" w:rsidRPr="005E08A9" w:rsidRDefault="00F96509" w:rsidP="00CE4E4E">
            <w:pPr>
              <w:rPr>
                <w:b/>
                <w:bCs/>
                <w:noProof/>
                <w:color w:val="000000"/>
              </w:rPr>
            </w:pPr>
            <w:r>
              <w:rPr>
                <w:b/>
                <w:noProof/>
              </w:rPr>
              <w:t>-</w:t>
            </w:r>
          </w:p>
        </w:tc>
        <w:tc>
          <w:tcPr>
            <w:tcW w:w="1017" w:type="dxa"/>
            <w:tcBorders>
              <w:top w:val="single" w:sz="4" w:space="0" w:color="auto"/>
              <w:bottom w:val="single" w:sz="4" w:space="0" w:color="auto"/>
            </w:tcBorders>
            <w:shd w:val="clear" w:color="auto" w:fill="D9D9D9" w:themeFill="background1" w:themeFillShade="D9"/>
            <w:noWrap/>
          </w:tcPr>
          <w:p w14:paraId="695A5E33" w14:textId="77777777" w:rsidR="00F96509" w:rsidRPr="005E08A9" w:rsidRDefault="00F96509" w:rsidP="00CE4E4E">
            <w:pPr>
              <w:rPr>
                <w:b/>
                <w:bCs/>
                <w:noProof/>
                <w:color w:val="000000"/>
              </w:rPr>
            </w:pPr>
            <w:r>
              <w:rPr>
                <w:b/>
                <w:noProof/>
              </w:rPr>
              <w:t>52 761</w:t>
            </w:r>
          </w:p>
        </w:tc>
        <w:tc>
          <w:tcPr>
            <w:tcW w:w="1070" w:type="dxa"/>
            <w:tcBorders>
              <w:top w:val="single" w:sz="4" w:space="0" w:color="auto"/>
              <w:left w:val="nil"/>
              <w:bottom w:val="single" w:sz="4" w:space="0" w:color="auto"/>
              <w:right w:val="single" w:sz="4" w:space="0" w:color="auto"/>
            </w:tcBorders>
            <w:shd w:val="clear" w:color="auto" w:fill="D9D9D9" w:themeFill="background1" w:themeFillShade="D9"/>
            <w:noWrap/>
          </w:tcPr>
          <w:p w14:paraId="4ADCC795" w14:textId="77777777" w:rsidR="00F96509" w:rsidRPr="005E08A9" w:rsidRDefault="00F96509" w:rsidP="00CE4E4E">
            <w:pPr>
              <w:keepNext/>
              <w:rPr>
                <w:b/>
                <w:bCs/>
                <w:noProof/>
                <w:color w:val="000000"/>
              </w:rPr>
            </w:pPr>
            <w:r>
              <w:rPr>
                <w:b/>
                <w:noProof/>
              </w:rPr>
              <w:t>-</w:t>
            </w:r>
          </w:p>
        </w:tc>
      </w:tr>
    </w:tbl>
    <w:p w14:paraId="6FD3694A" w14:textId="7864CC8B" w:rsidR="00F96509" w:rsidRPr="005E08A9" w:rsidRDefault="00F96509" w:rsidP="00CE4E4E">
      <w:pPr>
        <w:pStyle w:val="Caption"/>
        <w:spacing w:before="120" w:after="120"/>
        <w:rPr>
          <w:i w:val="0"/>
          <w:noProof/>
          <w:sz w:val="18"/>
          <w:szCs w:val="18"/>
        </w:rPr>
      </w:pPr>
      <w:r>
        <w:rPr>
          <w:noProof/>
          <w:sz w:val="18"/>
        </w:rPr>
        <w:t xml:space="preserve">Tableau </w:t>
      </w:r>
      <w:r>
        <w:rPr>
          <w:noProof/>
          <w:sz w:val="18"/>
        </w:rPr>
        <w:fldChar w:fldCharType="begin"/>
      </w:r>
      <w:r>
        <w:rPr>
          <w:noProof/>
          <w:sz w:val="18"/>
        </w:rPr>
        <w:instrText xml:space="preserve"> SEQ Table \* ARABIC </w:instrText>
      </w:r>
      <w:r>
        <w:rPr>
          <w:noProof/>
          <w:sz w:val="18"/>
        </w:rPr>
        <w:fldChar w:fldCharType="separate"/>
      </w:r>
      <w:r>
        <w:rPr>
          <w:noProof/>
          <w:sz w:val="18"/>
        </w:rPr>
        <w:t>2</w:t>
      </w:r>
      <w:r>
        <w:rPr>
          <w:noProof/>
          <w:sz w:val="18"/>
        </w:rPr>
        <w:fldChar w:fldCharType="end"/>
      </w:r>
      <w:r>
        <w:rPr>
          <w:noProof/>
          <w:sz w:val="18"/>
        </w:rPr>
        <w:t xml:space="preserve">: pays d’origine des demandeurs et des bénéficiaires </w:t>
      </w:r>
    </w:p>
    <w:p w14:paraId="1C7B20BD" w14:textId="67CD3CC1" w:rsidR="00F96509" w:rsidRPr="005E08A9" w:rsidRDefault="00F96509" w:rsidP="00CE4E4E">
      <w:pPr>
        <w:rPr>
          <w:rStyle w:val="Strong"/>
          <w:rFonts w:eastAsiaTheme="minorHAnsi"/>
          <w:noProof/>
        </w:rPr>
      </w:pPr>
      <w:r>
        <w:rPr>
          <w:rStyle w:val="Strong"/>
          <w:noProof/>
        </w:rPr>
        <w:t>Chemins d’impact clés</w:t>
      </w:r>
    </w:p>
    <w:p w14:paraId="3AA3B905" w14:textId="19E4DD2B" w:rsidR="00F96509" w:rsidRPr="005E08A9" w:rsidRDefault="00F96509" w:rsidP="00CE4E4E">
      <w:pPr>
        <w:rPr>
          <w:i/>
          <w:noProof/>
        </w:rPr>
      </w:pPr>
      <w:r>
        <w:rPr>
          <w:i/>
          <w:noProof/>
        </w:rPr>
        <w:t>Source: Tableau de bord des CIC arrêté au 5 janvier 2026</w:t>
      </w:r>
    </w:p>
    <w:p w14:paraId="35FDBDCC" w14:textId="733D7CE8" w:rsidR="00F96509" w:rsidRPr="005E08A9" w:rsidRDefault="00F96509" w:rsidP="00CE4E4E">
      <w:pPr>
        <w:rPr>
          <w:noProof/>
        </w:rPr>
      </w:pPr>
      <w:r>
        <w:rPr>
          <w:noProof/>
        </w:rPr>
        <w:t xml:space="preserve">Des chemins d’impact clés (CIC) ont été introduits dans Horizon Europe afin de suivre l’impact du programme au moyen d’indicateurs à court, moyen et long terme. </w:t>
      </w:r>
    </w:p>
    <w:p w14:paraId="626711CD" w14:textId="2685873F" w:rsidR="00F96509" w:rsidRPr="005E08A9" w:rsidRDefault="00F96509" w:rsidP="00CE4E4E">
      <w:pPr>
        <w:rPr>
          <w:noProof/>
        </w:rPr>
      </w:pPr>
      <w:r>
        <w:rPr>
          <w:noProof/>
        </w:rPr>
        <w:t>Les données reposent principalement sur le système de rapports périodiques du projet. 2 664 projets (14 %) étaient clôturés au moment de la présente analyse et 40 % des projets avaient fait l’objet d’au moins un rapport périodique. Étant donné que la plupart des indicateurs à moyen et à long terme nécessitent un nombre important de projets avant de donner des résultats significatifs, la présente section se concentre uniquement sur les indicateurs à court terme.</w:t>
      </w:r>
    </w:p>
    <w:p w14:paraId="2722C562" w14:textId="77777777" w:rsidR="00F96509" w:rsidRPr="005E08A9" w:rsidRDefault="00F96509" w:rsidP="00CE4E4E">
      <w:pPr>
        <w:rPr>
          <w:i/>
          <w:iCs/>
          <w:noProof/>
        </w:rPr>
      </w:pPr>
      <w:r>
        <w:rPr>
          <w:i/>
          <w:noProof/>
        </w:rPr>
        <w:t>Impact scientifique</w:t>
      </w:r>
    </w:p>
    <w:p w14:paraId="7BFB0741" w14:textId="18EDD415" w:rsidR="00F96509" w:rsidRPr="005E08A9" w:rsidRDefault="00F96509" w:rsidP="00CE4E4E">
      <w:pPr>
        <w:numPr>
          <w:ilvl w:val="0"/>
          <w:numId w:val="52"/>
        </w:numPr>
        <w:rPr>
          <w:noProof/>
        </w:rPr>
      </w:pPr>
      <w:r>
        <w:rPr>
          <w:noProof/>
        </w:rPr>
        <w:t>À ce jour, les projets Horizon Europe ont fait état de 18 478 publications évaluées par des pairs (CIC 1).</w:t>
      </w:r>
    </w:p>
    <w:p w14:paraId="685253D4" w14:textId="213384DC" w:rsidR="00F96509" w:rsidRPr="005E08A9" w:rsidRDefault="00F96509" w:rsidP="00CE4E4E">
      <w:pPr>
        <w:numPr>
          <w:ilvl w:val="0"/>
          <w:numId w:val="52"/>
        </w:numPr>
        <w:rPr>
          <w:noProof/>
        </w:rPr>
      </w:pPr>
      <w:r>
        <w:rPr>
          <w:noProof/>
        </w:rPr>
        <w:t xml:space="preserve">Horizon Europe rassemble 126 407 chercheurs en début de carrière (CIC 2), dont 44 % sont des femmes. </w:t>
      </w:r>
    </w:p>
    <w:p w14:paraId="3966D8BD" w14:textId="54134852" w:rsidR="00F96509" w:rsidRPr="005E08A9" w:rsidRDefault="00F96509" w:rsidP="00CE4E4E">
      <w:pPr>
        <w:numPr>
          <w:ilvl w:val="0"/>
          <w:numId w:val="52"/>
        </w:numPr>
        <w:rPr>
          <w:noProof/>
        </w:rPr>
      </w:pPr>
      <w:r>
        <w:rPr>
          <w:noProof/>
        </w:rPr>
        <w:t>80,8 % des résultats de recherche produits par le programme (publications, ensembles de données, logiciels) ont été mis à disposition en libre accès par l’intermédiaire des bénéficiaires (CIC 3).</w:t>
      </w:r>
    </w:p>
    <w:p w14:paraId="399593A4" w14:textId="77777777" w:rsidR="00F96509" w:rsidRPr="005E08A9" w:rsidRDefault="00F96509" w:rsidP="00A4763C">
      <w:pPr>
        <w:keepNext/>
        <w:rPr>
          <w:i/>
          <w:iCs/>
          <w:noProof/>
        </w:rPr>
      </w:pPr>
      <w:r>
        <w:rPr>
          <w:i/>
          <w:noProof/>
        </w:rPr>
        <w:t>Impacts sociétaux</w:t>
      </w:r>
    </w:p>
    <w:p w14:paraId="3A4DD145" w14:textId="57C00F14" w:rsidR="00F96509" w:rsidRPr="005E08A9" w:rsidRDefault="00F96509" w:rsidP="00CE4E4E">
      <w:pPr>
        <w:numPr>
          <w:ilvl w:val="0"/>
          <w:numId w:val="53"/>
        </w:numPr>
        <w:rPr>
          <w:noProof/>
        </w:rPr>
      </w:pPr>
      <w:r>
        <w:rPr>
          <w:noProof/>
        </w:rPr>
        <w:t>Plus de 99 % de l’ensemble des réalisations d’Horizon Europe sont considérées comme pertinentes pour l’une des priorités stratégiques de l’UE, à savoir les priorités de la Commission pour la période 2019-2024, les objectifs de développement durable ou les objectifs d’adaptation au changement climatique et d’atténuation de ses effets (CIC 4)</w:t>
      </w:r>
      <w:r>
        <w:rPr>
          <w:rStyle w:val="FootnoteReference"/>
          <w:noProof/>
        </w:rPr>
        <w:footnoteReference w:id="8"/>
      </w:r>
      <w:r>
        <w:rPr>
          <w:noProof/>
        </w:rPr>
        <w:t xml:space="preserve">. </w:t>
      </w:r>
    </w:p>
    <w:p w14:paraId="566223F9" w14:textId="7E0F66C7" w:rsidR="00F96509" w:rsidRPr="005E08A9" w:rsidRDefault="00F96509" w:rsidP="00CE4E4E">
      <w:pPr>
        <w:numPr>
          <w:ilvl w:val="0"/>
          <w:numId w:val="53"/>
        </w:numPr>
        <w:rPr>
          <w:noProof/>
        </w:rPr>
      </w:pPr>
      <w:r>
        <w:rPr>
          <w:noProof/>
        </w:rPr>
        <w:t xml:space="preserve">Les projets des missions de l’UE ont produit 206 publications évaluées par des pairs et 284 résultats innovants (CIC 5). </w:t>
      </w:r>
    </w:p>
    <w:p w14:paraId="0E0AF47B" w14:textId="2FE6CB71" w:rsidR="00F96509" w:rsidRPr="005E08A9" w:rsidRDefault="00F96509" w:rsidP="00CE4E4E">
      <w:pPr>
        <w:numPr>
          <w:ilvl w:val="0"/>
          <w:numId w:val="53"/>
        </w:numPr>
        <w:rPr>
          <w:noProof/>
        </w:rPr>
      </w:pPr>
      <w:r>
        <w:rPr>
          <w:noProof/>
        </w:rPr>
        <w:t>41 % des projets disposent de mécanismes structurés pour associer le public ou les utilisateurs finaux à la cocréation de contenus de R&amp;I (CIC 6).</w:t>
      </w:r>
    </w:p>
    <w:p w14:paraId="5551D12C" w14:textId="44177E4D" w:rsidR="00F96509" w:rsidRPr="005E08A9" w:rsidRDefault="00F96509" w:rsidP="00CE4E4E">
      <w:pPr>
        <w:rPr>
          <w:i/>
          <w:iCs/>
          <w:noProof/>
        </w:rPr>
      </w:pPr>
      <w:r>
        <w:rPr>
          <w:i/>
          <w:noProof/>
        </w:rPr>
        <w:t xml:space="preserve">Impact économique/technologique </w:t>
      </w:r>
    </w:p>
    <w:p w14:paraId="3ED2718E" w14:textId="55300582" w:rsidR="00F96509" w:rsidRPr="005E08A9" w:rsidRDefault="00F96509" w:rsidP="00CE4E4E">
      <w:pPr>
        <w:numPr>
          <w:ilvl w:val="0"/>
          <w:numId w:val="52"/>
        </w:numPr>
        <w:rPr>
          <w:noProof/>
        </w:rPr>
      </w:pPr>
      <w:r>
        <w:rPr>
          <w:noProof/>
        </w:rPr>
        <w:t>Les projets ont fait état de 7 645 réalisations innovantes (produits, processus, méthodes, etc.). En outre, les bénéficiaires ont déjà déclaré 283 produits non confidentiels de droits de propriété intellectuelle, dont 94 demandes de brevet, un nombre qui devrait augmenter une fois que la confidentialité de la plupart des demandes aura été levée (CIC 7).</w:t>
      </w:r>
    </w:p>
    <w:p w14:paraId="2A5B35FF" w14:textId="77777777" w:rsidR="00F96509" w:rsidRPr="005E08A9" w:rsidRDefault="00F96509" w:rsidP="00CE4E4E">
      <w:pPr>
        <w:numPr>
          <w:ilvl w:val="0"/>
          <w:numId w:val="52"/>
        </w:numPr>
        <w:rPr>
          <w:noProof/>
        </w:rPr>
      </w:pPr>
      <w:r>
        <w:rPr>
          <w:noProof/>
        </w:rPr>
        <w:t xml:space="preserve">Les projets financés soutiennent au moins 95 798 emplois (équivalents temps plein) dans les entités juridiques participantes (CIC 8). </w:t>
      </w:r>
    </w:p>
    <w:p w14:paraId="08333036" w14:textId="3CC6BF0F" w:rsidR="00F96509" w:rsidRPr="005E08A9" w:rsidRDefault="00F96509" w:rsidP="00CE4E4E">
      <w:pPr>
        <w:numPr>
          <w:ilvl w:val="0"/>
          <w:numId w:val="52"/>
        </w:numPr>
        <w:rPr>
          <w:rStyle w:val="Strong"/>
          <w:b w:val="0"/>
          <w:bCs w:val="0"/>
          <w:noProof/>
        </w:rPr>
      </w:pPr>
      <w:r>
        <w:rPr>
          <w:noProof/>
        </w:rPr>
        <w:t xml:space="preserve">Parallèlement à l’investissement initial de l’UE, les participants au projet ont réalisé des co-investissements directs d’au moins 12,9 milliards d’EUR (CIC 9). </w:t>
      </w:r>
    </w:p>
    <w:p w14:paraId="2ECD406A" w14:textId="2F9C79BE" w:rsidR="00F96509" w:rsidRPr="005E08A9" w:rsidRDefault="00F96509" w:rsidP="00CE4E4E">
      <w:pPr>
        <w:rPr>
          <w:rStyle w:val="Strong"/>
          <w:rFonts w:eastAsiaTheme="minorHAnsi"/>
          <w:noProof/>
        </w:rPr>
      </w:pPr>
      <w:r>
        <w:rPr>
          <w:rStyle w:val="Strong"/>
          <w:noProof/>
        </w:rPr>
        <w:t>Les partenariats européens</w:t>
      </w:r>
    </w:p>
    <w:p w14:paraId="132CF036" w14:textId="7E30D226" w:rsidR="00F96509" w:rsidRPr="005E08A9" w:rsidRDefault="00F96509" w:rsidP="00CE4E4E">
      <w:pPr>
        <w:rPr>
          <w:i/>
          <w:noProof/>
        </w:rPr>
      </w:pPr>
      <w:r>
        <w:rPr>
          <w:i/>
          <w:noProof/>
        </w:rPr>
        <w:t>Source: Tableau de bord des projets Horizon arrêté au 5 janvier 2026</w:t>
      </w:r>
    </w:p>
    <w:p w14:paraId="3E0808F5" w14:textId="28CAA618" w:rsidR="00F96509" w:rsidRPr="005E08A9" w:rsidRDefault="00AA0CFA" w:rsidP="00CE4E4E">
      <w:pPr>
        <w:rPr>
          <w:noProof/>
          <w:highlight w:val="cyan"/>
        </w:rPr>
      </w:pPr>
      <w:r>
        <w:rPr>
          <w:noProof/>
        </w:rPr>
        <w:t xml:space="preserve">À la fin de l’année 2025, 54 partenariats européens étaient actifs, dont deux devaient être signés en janvier 2026 et quatre autres plus tard. Au total, 1 345 subventions ont été signées dans le cadre de l’ensemble des partenariats, impliquant 9 568 participants uniques et représentant une contribution de l’UE de 12,5 milliards d’EUR. </w:t>
      </w:r>
    </w:p>
    <w:p w14:paraId="7E0A5470" w14:textId="26E31C50" w:rsidR="00D1586E" w:rsidRPr="005E08A9" w:rsidRDefault="00185284" w:rsidP="00CE4E4E">
      <w:pPr>
        <w:rPr>
          <w:noProof/>
        </w:rPr>
      </w:pPr>
      <w:r>
        <w:rPr>
          <w:noProof/>
        </w:rPr>
        <w:t xml:space="preserve">Depuis 2021, </w:t>
      </w:r>
      <w:r>
        <w:rPr>
          <w:b/>
          <w:noProof/>
        </w:rPr>
        <w:t>10 entreprises communes actives</w:t>
      </w:r>
      <w:r>
        <w:rPr>
          <w:rStyle w:val="FootnoteReference"/>
          <w:noProof/>
        </w:rPr>
        <w:footnoteReference w:id="9"/>
      </w:r>
      <w:r>
        <w:rPr>
          <w:noProof/>
        </w:rPr>
        <w:t xml:space="preserve"> ont signé 701 subventions pour un montant total de </w:t>
      </w:r>
      <w:r>
        <w:rPr>
          <w:b/>
          <w:noProof/>
        </w:rPr>
        <w:t>6,7 milliards d’EUR</w:t>
      </w:r>
      <w:r>
        <w:rPr>
          <w:noProof/>
        </w:rPr>
        <w:t xml:space="preserve"> et impliquant 5 350 participants uniques. En outre, </w:t>
      </w:r>
      <w:r>
        <w:rPr>
          <w:b/>
          <w:noProof/>
        </w:rPr>
        <w:t>4,3 milliards d’EUR</w:t>
      </w:r>
      <w:r>
        <w:rPr>
          <w:noProof/>
        </w:rPr>
        <w:t xml:space="preserve"> provenant d’Horizon Europe ont soutenu 11 </w:t>
      </w:r>
      <w:r>
        <w:rPr>
          <w:b/>
          <w:noProof/>
        </w:rPr>
        <w:t>partenariats co-programmés</w:t>
      </w:r>
      <w:r>
        <w:rPr>
          <w:noProof/>
        </w:rPr>
        <w:t xml:space="preserve">, avec 635 subventions en faveur de 4 944 organisations distinctes. En ce qui concerne les </w:t>
      </w:r>
      <w:r>
        <w:rPr>
          <w:b/>
          <w:noProof/>
        </w:rPr>
        <w:t>partenariats cofinancés</w:t>
      </w:r>
      <w:r>
        <w:rPr>
          <w:noProof/>
        </w:rPr>
        <w:t xml:space="preserve">, 18 conventions de subvention ont été signées pour un montant total de 1,5 milliard d’EUR, impliquant 754 participants uniques. </w:t>
      </w:r>
    </w:p>
    <w:p w14:paraId="3F6DD895" w14:textId="50C47B69" w:rsidR="00F96509" w:rsidRPr="005E08A9" w:rsidRDefault="00F96509" w:rsidP="00CE4E4E">
      <w:pPr>
        <w:rPr>
          <w:b/>
          <w:bCs/>
          <w:noProof/>
        </w:rPr>
      </w:pPr>
      <w:r>
        <w:rPr>
          <w:b/>
          <w:noProof/>
        </w:rPr>
        <w:t>Les missions de l’Union</w:t>
      </w:r>
    </w:p>
    <w:p w14:paraId="741A98A1" w14:textId="39E515E0" w:rsidR="00F96509" w:rsidRPr="005E08A9" w:rsidRDefault="00F96509" w:rsidP="00CE4E4E">
      <w:pPr>
        <w:rPr>
          <w:i/>
          <w:noProof/>
        </w:rPr>
      </w:pPr>
      <w:r>
        <w:rPr>
          <w:i/>
          <w:noProof/>
        </w:rPr>
        <w:t>Source: Tableaux de bord des propositions et projets Horizon, arrêtés au 5 janvier 2026</w:t>
      </w:r>
    </w:p>
    <w:p w14:paraId="4B24E23D" w14:textId="2E504277" w:rsidR="003F3D73" w:rsidRPr="005E08A9" w:rsidRDefault="00F41E29" w:rsidP="00CE4E4E">
      <w:pPr>
        <w:rPr>
          <w:noProof/>
        </w:rPr>
      </w:pPr>
      <w:r>
        <w:rPr>
          <w:noProof/>
        </w:rPr>
        <w:t>Dans le programme de travail 2025, neuf appels à missions ont été lancés. Entre 2021 et 2025, les appels liés à des missions ont attiré 1 515 propositions éligibles. 321 subventions ont été signées, impliquant 3 845 bénéficiaires et totalisant 2,48 milliards d’EUR.</w:t>
      </w:r>
    </w:p>
    <w:p w14:paraId="0CB4755B" w14:textId="77777777" w:rsidR="00F96509" w:rsidRPr="005E08A9" w:rsidRDefault="00F96509" w:rsidP="00CE4E4E">
      <w:pPr>
        <w:pStyle w:val="Heading2"/>
        <w:rPr>
          <w:noProof/>
        </w:rPr>
      </w:pPr>
      <w:r>
        <w:rPr>
          <w:noProof/>
        </w:rPr>
        <w:t>Analyse approfondie: les Monitoring Flash d’Horizon Europe et autres études</w:t>
      </w:r>
    </w:p>
    <w:p w14:paraId="0206D67D" w14:textId="7327D42A" w:rsidR="00F96509" w:rsidRPr="005E08A9" w:rsidRDefault="00F96509" w:rsidP="00CE4E4E">
      <w:pPr>
        <w:rPr>
          <w:noProof/>
        </w:rPr>
      </w:pPr>
      <w:r>
        <w:rPr>
          <w:noProof/>
        </w:rPr>
        <w:t>Plusieurs rapports thématiques sur la mise en œuvre et la performance d’Horizon Europe ont été publiés en 2025:</w:t>
      </w:r>
    </w:p>
    <w:p w14:paraId="5B5F3640" w14:textId="3E2F7250" w:rsidR="00F96509" w:rsidRPr="005E08A9" w:rsidRDefault="003813D3" w:rsidP="00CE4E4E">
      <w:pPr>
        <w:numPr>
          <w:ilvl w:val="0"/>
          <w:numId w:val="54"/>
        </w:numPr>
        <w:rPr>
          <w:noProof/>
        </w:rPr>
      </w:pPr>
      <w:r>
        <w:rPr>
          <w:noProof/>
        </w:rPr>
        <w:t xml:space="preserve">un monitoring flash présentant une </w:t>
      </w:r>
      <w:hyperlink r:id="rId74" w:history="1">
        <w:r>
          <w:rPr>
            <w:rStyle w:val="Hyperlink"/>
            <w:noProof/>
          </w:rPr>
          <w:t>vue d’ensemble de l’égalité entre les femmes et les hommes dans les programmes de R&amp;I de l’UE</w:t>
        </w:r>
      </w:hyperlink>
      <w:r>
        <w:rPr>
          <w:noProof/>
        </w:rPr>
        <w:t>;</w:t>
      </w:r>
    </w:p>
    <w:p w14:paraId="6EB121F9" w14:textId="6296A478" w:rsidR="00F96509" w:rsidRPr="005E08A9" w:rsidRDefault="003813D3" w:rsidP="00CE4E4E">
      <w:pPr>
        <w:numPr>
          <w:ilvl w:val="0"/>
          <w:numId w:val="54"/>
        </w:numPr>
        <w:rPr>
          <w:noProof/>
        </w:rPr>
      </w:pPr>
      <w:r>
        <w:rPr>
          <w:noProof/>
        </w:rPr>
        <w:t xml:space="preserve">un monitoring flash présentant la </w:t>
      </w:r>
      <w:hyperlink r:id="rId75" w:history="1">
        <w:r>
          <w:rPr>
            <w:rStyle w:val="Hyperlink"/>
            <w:noProof/>
          </w:rPr>
          <w:t>contribution d’Horizon Europe aux cinq missions de l’UE</w:t>
        </w:r>
      </w:hyperlink>
      <w:r>
        <w:rPr>
          <w:noProof/>
        </w:rPr>
        <w:t>;</w:t>
      </w:r>
    </w:p>
    <w:p w14:paraId="1C712D71" w14:textId="7E565715" w:rsidR="00F96509" w:rsidRPr="005E08A9" w:rsidRDefault="003813D3" w:rsidP="00CE4E4E">
      <w:pPr>
        <w:numPr>
          <w:ilvl w:val="0"/>
          <w:numId w:val="54"/>
        </w:numPr>
        <w:rPr>
          <w:noProof/>
        </w:rPr>
      </w:pPr>
      <w:r>
        <w:rPr>
          <w:noProof/>
        </w:rPr>
        <w:t xml:space="preserve">une étude visant à </w:t>
      </w:r>
      <w:hyperlink r:id="rId76" w:history="1">
        <w:r>
          <w:rPr>
            <w:rStyle w:val="Hyperlink"/>
            <w:noProof/>
          </w:rPr>
          <w:t>quantifier les avantages environnementaux d’Horizon Europe</w:t>
        </w:r>
      </w:hyperlink>
      <w:r>
        <w:rPr>
          <w:noProof/>
        </w:rPr>
        <w:t>, notamment grâce aux économies d’énergie ou de ressources;</w:t>
      </w:r>
    </w:p>
    <w:p w14:paraId="3CE915C0" w14:textId="211BEB29" w:rsidR="00F96509" w:rsidRPr="005E08A9" w:rsidRDefault="003813D3" w:rsidP="00CE4E4E">
      <w:pPr>
        <w:numPr>
          <w:ilvl w:val="0"/>
          <w:numId w:val="54"/>
        </w:numPr>
        <w:rPr>
          <w:noProof/>
        </w:rPr>
      </w:pPr>
      <w:r>
        <w:rPr>
          <w:noProof/>
        </w:rPr>
        <w:t>une étude évaluant l’</w:t>
      </w:r>
      <w:hyperlink r:id="rId77" w:history="1">
        <w:r>
          <w:rPr>
            <w:rStyle w:val="Hyperlink"/>
            <w:noProof/>
          </w:rPr>
          <w:t>incidence macroéconomique d’Horizon Europe</w:t>
        </w:r>
      </w:hyperlink>
      <w:r>
        <w:rPr>
          <w:noProof/>
        </w:rPr>
        <w:t xml:space="preserve"> sur le PIB et l’emploi;</w:t>
      </w:r>
    </w:p>
    <w:p w14:paraId="54F44E73" w14:textId="3B5C9B63" w:rsidR="00F96509" w:rsidRPr="005E08A9" w:rsidRDefault="003813D3" w:rsidP="00CE4E4E">
      <w:pPr>
        <w:numPr>
          <w:ilvl w:val="0"/>
          <w:numId w:val="54"/>
        </w:numPr>
        <w:rPr>
          <w:noProof/>
        </w:rPr>
      </w:pPr>
      <w:r>
        <w:rPr>
          <w:noProof/>
        </w:rPr>
        <w:t>un monitoring flash sur l’</w:t>
      </w:r>
      <w:hyperlink r:id="rId78" w:history="1">
        <w:r>
          <w:rPr>
            <w:rStyle w:val="Hyperlink"/>
            <w:noProof/>
          </w:rPr>
          <w:t>utilisation des niveaux de maturité technologique dans Horizon Europe</w:t>
        </w:r>
      </w:hyperlink>
      <w:r>
        <w:rPr>
          <w:noProof/>
        </w:rPr>
        <w:t>;</w:t>
      </w:r>
    </w:p>
    <w:p w14:paraId="3B727A9A" w14:textId="7CE3AF1A" w:rsidR="00F96509" w:rsidRPr="005E08A9" w:rsidRDefault="003813D3" w:rsidP="00CE4E4E">
      <w:pPr>
        <w:numPr>
          <w:ilvl w:val="0"/>
          <w:numId w:val="54"/>
        </w:numPr>
        <w:rPr>
          <w:rFonts w:eastAsia="Aptos"/>
          <w:noProof/>
        </w:rPr>
      </w:pPr>
      <w:r>
        <w:rPr>
          <w:noProof/>
        </w:rPr>
        <w:t xml:space="preserve">une étude dressant le bilan de </w:t>
      </w:r>
      <w:hyperlink r:id="rId79" w:history="1">
        <w:r>
          <w:rPr>
            <w:rStyle w:val="Hyperlink"/>
            <w:noProof/>
          </w:rPr>
          <w:t>20 années de recherche en matière de sécurité (civile) financée par l’UE</w:t>
        </w:r>
      </w:hyperlink>
      <w:r>
        <w:rPr>
          <w:noProof/>
        </w:rPr>
        <w:t>.</w:t>
      </w:r>
    </w:p>
    <w:p w14:paraId="31D64435" w14:textId="77777777" w:rsidR="00F96509" w:rsidRPr="005E08A9" w:rsidRDefault="00F96509" w:rsidP="00CE4E4E">
      <w:pPr>
        <w:rPr>
          <w:b/>
          <w:bCs/>
          <w:noProof/>
        </w:rPr>
      </w:pPr>
      <w:r>
        <w:rPr>
          <w:b/>
          <w:noProof/>
        </w:rPr>
        <w:t>Évaluation intermédiaire d’Horizon Europe</w:t>
      </w:r>
    </w:p>
    <w:p w14:paraId="1AED93A1" w14:textId="58129AD5" w:rsidR="00544698" w:rsidRPr="005E08A9" w:rsidRDefault="001A5F7A" w:rsidP="00CE4E4E">
      <w:pPr>
        <w:rPr>
          <w:noProof/>
        </w:rPr>
      </w:pPr>
      <w:r>
        <w:rPr>
          <w:noProof/>
        </w:rPr>
        <w:t>En avril, la Commission a publié l’</w:t>
      </w:r>
      <w:hyperlink r:id="rId80" w:history="1">
        <w:r>
          <w:rPr>
            <w:rStyle w:val="Hyperlink"/>
            <w:noProof/>
          </w:rPr>
          <w:t>évaluation intermédiaire</w:t>
        </w:r>
      </w:hyperlink>
      <w:r>
        <w:rPr>
          <w:noProof/>
        </w:rPr>
        <w:t xml:space="preserve"> d’Horizon Europe. Une communication a également été adressée au Parlement européen et au Conseil, présentant les </w:t>
      </w:r>
      <w:hyperlink r:id="rId81" w:history="1">
        <w:r>
          <w:rPr>
            <w:rStyle w:val="Hyperlink"/>
            <w:noProof/>
          </w:rPr>
          <w:t>enseignements tirés et des propositions d’actions futures</w:t>
        </w:r>
      </w:hyperlink>
      <w:r>
        <w:rPr>
          <w:noProof/>
        </w:rPr>
        <w:t>. Les principales conclusions montrent la forte incidence d’Horizon Europe grâce à des innovations tangibles et son excellence scientifique. Le programme amplifie l’incidence de l’innovation, chaque euro investi par l’intermédiaire du Fonds du CEI attirant plus de trois euros d’investissements privés. La participation des États membres bénéficiant de l’élargissement de la participation au programme a également augmenté, passant de 47 % à 58 % dans le cadre d’Horizon 2020.</w:t>
      </w:r>
    </w:p>
    <w:p w14:paraId="4CDC1E23" w14:textId="395A4A52" w:rsidR="00F96509" w:rsidRPr="005E08A9" w:rsidRDefault="00F96509" w:rsidP="00A4763C">
      <w:pPr>
        <w:keepNext/>
        <w:rPr>
          <w:b/>
          <w:bCs/>
          <w:noProof/>
        </w:rPr>
      </w:pPr>
      <w:r>
        <w:rPr>
          <w:b/>
          <w:noProof/>
        </w:rPr>
        <w:t>Analyse d’impact et proposition pour le futur programme Horizon Europe et le Fonds européen pour la compétitivité</w:t>
      </w:r>
    </w:p>
    <w:p w14:paraId="1C2504F3" w14:textId="7A38ED28" w:rsidR="00F96509" w:rsidRPr="005E08A9" w:rsidRDefault="008C62B4" w:rsidP="00CE4E4E">
      <w:pPr>
        <w:rPr>
          <w:noProof/>
        </w:rPr>
      </w:pPr>
      <w:r>
        <w:rPr>
          <w:noProof/>
        </w:rPr>
        <w:t xml:space="preserve">La Commission a également publié une </w:t>
      </w:r>
      <w:hyperlink r:id="rId82">
        <w:r>
          <w:rPr>
            <w:rStyle w:val="Hyperlink"/>
            <w:noProof/>
          </w:rPr>
          <w:t>analyse d’impact pour le futur programme Horizon Europe (2028-2034) et un nouveau Fonds européen pour la compétitivité</w:t>
        </w:r>
      </w:hyperlink>
      <w:r>
        <w:rPr>
          <w:noProof/>
        </w:rPr>
        <w:t xml:space="preserve">. Elle a ensuite adopté des propositions pour les deux programmes interconnectés, qui soutiendront l’ensemble du processus d’innovation, du laboratoire à la mise sur le marché. À la suite de leur adoption par la Commission en juillet, les propositions sont en cours de négociation par les colégislateurs. </w:t>
      </w:r>
    </w:p>
    <w:p w14:paraId="0DB9422F" w14:textId="6EB076DE" w:rsidR="00517B47" w:rsidRPr="005E08A9" w:rsidRDefault="00517B47" w:rsidP="00CE4E4E">
      <w:pPr>
        <w:pStyle w:val="Heading2"/>
        <w:rPr>
          <w:noProof/>
        </w:rPr>
      </w:pPr>
      <w:r>
        <w:rPr>
          <w:noProof/>
        </w:rPr>
        <w:t>Diffusion et exploitation des résultats</w:t>
      </w:r>
    </w:p>
    <w:p w14:paraId="5F3CFF5E" w14:textId="384FD4C1" w:rsidR="007D7A52" w:rsidRPr="005E08A9" w:rsidRDefault="00DD15C7" w:rsidP="00CE4E4E">
      <w:pPr>
        <w:rPr>
          <w:rFonts w:eastAsia="Aptos"/>
          <w:noProof/>
        </w:rPr>
      </w:pPr>
      <w:r>
        <w:rPr>
          <w:noProof/>
        </w:rPr>
        <w:t xml:space="preserve">La Commission a continué de gérer et de développer la </w:t>
      </w:r>
      <w:hyperlink r:id="rId83" w:history="1">
        <w:r>
          <w:rPr>
            <w:rStyle w:val="Hyperlink"/>
            <w:noProof/>
            <w:color w:val="467886"/>
          </w:rPr>
          <w:t>plateforme des résultats d’Horizon</w:t>
        </w:r>
      </w:hyperlink>
      <w:r>
        <w:rPr>
          <w:noProof/>
        </w:rPr>
        <w:t xml:space="preserve"> et le service </w:t>
      </w:r>
      <w:hyperlink r:id="rId84" w:history="1">
        <w:r>
          <w:rPr>
            <w:rStyle w:val="Hyperlink"/>
            <w:noProof/>
            <w:color w:val="467886"/>
          </w:rPr>
          <w:t>Booster</w:t>
        </w:r>
      </w:hyperlink>
      <w:r>
        <w:rPr>
          <w:noProof/>
        </w:rPr>
        <w:t xml:space="preserve"> afin d’aider les bénéficiaires d’Horizon Europe à diffuser et à exploiter leurs résultats. La plateforme des résultats d’Horizon a vu 569 nouveaux résultats téléchargés et a activement soutenu 25 entreprises dans leur parcours de mise sur le marché grâce à un financement spécifique et à des possibilités de participation à des événements destinés aux investisseurs. Booster a fourni 764 services à 1 602 bénéficiaires, allant de la diffusion au soutien à la mise sur le marché. </w:t>
      </w:r>
    </w:p>
    <w:p w14:paraId="35C606ED" w14:textId="0B02427F" w:rsidR="2B694D0F" w:rsidRPr="005E08A9" w:rsidRDefault="21DD01F5" w:rsidP="00CE4E4E">
      <w:pPr>
        <w:rPr>
          <w:noProof/>
        </w:rPr>
      </w:pPr>
      <w:r>
        <w:rPr>
          <w:noProof/>
        </w:rPr>
        <w:t xml:space="preserve">La Commission a produit plusieurs publications </w:t>
      </w:r>
      <w:hyperlink r:id="rId85" w:history="1">
        <w:r>
          <w:rPr>
            <w:rStyle w:val="Hyperlink"/>
            <w:noProof/>
            <w:color w:val="467886"/>
          </w:rPr>
          <w:t>CORDIS</w:t>
        </w:r>
      </w:hyperlink>
      <w:r>
        <w:rPr>
          <w:noProof/>
        </w:rPr>
        <w:t xml:space="preserve">, dont 20 packs thématiques, 10 vidéos «Résultats en bref» et 10 épisodes du podcast CORDIScovery. </w:t>
      </w:r>
    </w:p>
    <w:p w14:paraId="41B82B11" w14:textId="1A2E568B" w:rsidR="004551DD" w:rsidRPr="005E08A9" w:rsidRDefault="00517B47" w:rsidP="00CE4E4E">
      <w:pPr>
        <w:pStyle w:val="Heading2"/>
        <w:rPr>
          <w:noProof/>
        </w:rPr>
      </w:pPr>
      <w:r>
        <w:rPr>
          <w:noProof/>
        </w:rPr>
        <w:t>Mise en œuvre et suivi du programme Euratom</w:t>
      </w:r>
    </w:p>
    <w:p w14:paraId="76CCB2BB" w14:textId="62CE3890" w:rsidR="008A5B87" w:rsidRPr="005E08A9" w:rsidRDefault="008A5B87" w:rsidP="00CE4E4E">
      <w:pPr>
        <w:spacing w:line="259" w:lineRule="auto"/>
        <w:rPr>
          <w:noProof/>
        </w:rPr>
      </w:pPr>
      <w:r>
        <w:rPr>
          <w:noProof/>
        </w:rPr>
        <w:t xml:space="preserve">À la suite de la </w:t>
      </w:r>
      <w:hyperlink r:id="rId86" w:history="1">
        <w:r>
          <w:rPr>
            <w:rStyle w:val="Hyperlink"/>
            <w:noProof/>
          </w:rPr>
          <w:t>proposition</w:t>
        </w:r>
      </w:hyperlink>
      <w:r>
        <w:rPr>
          <w:noProof/>
        </w:rPr>
        <w:t xml:space="preserve"> de la Commission, le Conseil a adopté une </w:t>
      </w:r>
      <w:hyperlink r:id="rId87" w:history="1">
        <w:r>
          <w:rPr>
            <w:rStyle w:val="Hyperlink"/>
            <w:noProof/>
          </w:rPr>
          <w:t>prolongation du programme Euratom de recherche et de formation</w:t>
        </w:r>
      </w:hyperlink>
      <w:r>
        <w:rPr>
          <w:noProof/>
        </w:rPr>
        <w:t xml:space="preserve"> pour 2026 et 2027, étayée par l’</w:t>
      </w:r>
      <w:hyperlink r:id="rId88" w:history="1">
        <w:r>
          <w:rPr>
            <w:rStyle w:val="Hyperlink"/>
            <w:noProof/>
          </w:rPr>
          <w:t>évaluation intermédiaire</w:t>
        </w:r>
      </w:hyperlink>
      <w:r>
        <w:rPr>
          <w:noProof/>
        </w:rPr>
        <w:t xml:space="preserve"> du programme 2021-2025.</w:t>
      </w:r>
    </w:p>
    <w:p w14:paraId="4297B0B4" w14:textId="7520E8AE" w:rsidR="008A5B87" w:rsidRPr="005E08A9" w:rsidRDefault="008A5B87" w:rsidP="00CE4E4E">
      <w:pPr>
        <w:spacing w:line="259" w:lineRule="auto"/>
        <w:rPr>
          <w:noProof/>
        </w:rPr>
      </w:pPr>
      <w:r>
        <w:rPr>
          <w:noProof/>
        </w:rPr>
        <w:t>Le programme 2021-2025 est doté d’un budget total de 1,38 milliard d’EUR. Il est mis en œuvre au moyen d’actions directes et indirectes, représentant respectivement 38,5 % et 61,5 % du budget. Dans le cadre du volet des actions indirectes, 61 subventions de projets avaient été signées à la fin de 2025, dont quatre partenariats cofinancés. Ces subventions ont rassemblé 578 participants uniques et ont représenté 816 millions d’EUR de contributions Euratom.</w:t>
      </w:r>
    </w:p>
    <w:p w14:paraId="596E1526" w14:textId="44EEA153" w:rsidR="00B26ABE" w:rsidRPr="005E08A9" w:rsidRDefault="00D46450" w:rsidP="00CE4E4E">
      <w:pPr>
        <w:spacing w:line="259" w:lineRule="auto"/>
        <w:rPr>
          <w:noProof/>
        </w:rPr>
      </w:pPr>
      <w:r>
        <w:rPr>
          <w:noProof/>
        </w:rPr>
        <w:t xml:space="preserve">En septembre, la Commission a dévoilé sa proposition pour le prochain programme Euratom de recherche et de formation (2028-2032). </w:t>
      </w:r>
    </w:p>
    <w:p w14:paraId="5CB92751" w14:textId="60073F22" w:rsidR="00517B47" w:rsidRPr="005E08A9" w:rsidRDefault="00517B47" w:rsidP="00CE4E4E">
      <w:pPr>
        <w:numPr>
          <w:ilvl w:val="0"/>
          <w:numId w:val="50"/>
        </w:numPr>
        <w:rPr>
          <w:b/>
          <w:bCs/>
          <w:noProof/>
        </w:rPr>
      </w:pPr>
      <w:r>
        <w:rPr>
          <w:b/>
          <w:noProof/>
        </w:rPr>
        <w:t>Actions directes nucléaires mises en œuvre par le JRC</w:t>
      </w:r>
    </w:p>
    <w:p w14:paraId="0377148D" w14:textId="50234824" w:rsidR="00567360" w:rsidRPr="005E08A9" w:rsidRDefault="00567360" w:rsidP="00CE4E4E">
      <w:pPr>
        <w:rPr>
          <w:iCs/>
          <w:noProof/>
        </w:rPr>
      </w:pPr>
      <w:r>
        <w:rPr>
          <w:noProof/>
        </w:rPr>
        <w:t>En 2025, le JRC a publié 102 articles évalués par des pairs sur des sujets de recherche nucléaire, 90 rapports techniques, trois documents de référence et trois méthodes validées intégrées dans des bibliothèques nucléaires internationales, quatre systèmes techniques visant à renforcer les garanties nucléaires et une contribution aux normes internationales.</w:t>
      </w:r>
    </w:p>
    <w:p w14:paraId="28226D6B" w14:textId="30A12B88" w:rsidR="00567360" w:rsidRPr="005E08A9" w:rsidRDefault="00B26ABE" w:rsidP="00CE4E4E">
      <w:pPr>
        <w:rPr>
          <w:iCs/>
          <w:noProof/>
        </w:rPr>
      </w:pPr>
      <w:r>
        <w:rPr>
          <w:noProof/>
        </w:rPr>
        <w:t xml:space="preserve">Le JRC a contribué au </w:t>
      </w:r>
      <w:hyperlink r:id="rId89" w:history="1">
        <w:r>
          <w:rPr>
            <w:rStyle w:val="Hyperlink"/>
            <w:noProof/>
          </w:rPr>
          <w:t>plan d’action stratégique pour les petits réacteurs modulaires (PRM)</w:t>
        </w:r>
      </w:hyperlink>
      <w:r>
        <w:rPr>
          <w:noProof/>
        </w:rPr>
        <w:t>, approuvé par l’alliance industrielle européenne pour les PRM, qui vise à faciliter leur développement et leur déploiement en toute sécurité d’ici à 2030.</w:t>
      </w:r>
    </w:p>
    <w:p w14:paraId="4626433D" w14:textId="432D782A" w:rsidR="00A330F6" w:rsidRPr="005E08A9" w:rsidRDefault="00A330F6" w:rsidP="00CE4E4E">
      <w:pPr>
        <w:numPr>
          <w:ilvl w:val="0"/>
          <w:numId w:val="50"/>
        </w:numPr>
        <w:rPr>
          <w:b/>
          <w:noProof/>
        </w:rPr>
      </w:pPr>
      <w:r>
        <w:rPr>
          <w:b/>
          <w:noProof/>
        </w:rPr>
        <w:t xml:space="preserve">Actions indirectes du programme Euratom de recherche et de formation </w:t>
      </w:r>
    </w:p>
    <w:p w14:paraId="50BDB734" w14:textId="44D2B05E" w:rsidR="003C1F3E" w:rsidRPr="005E08A9" w:rsidRDefault="000556D2" w:rsidP="00CE4E4E">
      <w:pPr>
        <w:spacing w:line="257" w:lineRule="auto"/>
        <w:rPr>
          <w:rFonts w:eastAsia="Aptos"/>
          <w:noProof/>
        </w:rPr>
      </w:pPr>
      <w:r>
        <w:rPr>
          <w:noProof/>
        </w:rPr>
        <w:t xml:space="preserve">La Commission a lancé des initiatives pour remédier aux pénuries de compétences nucléaires spécialisées, en particulier dans les domaines de la sûreté nucléaire, des technologies innovantes et de la protection radiologique. Le </w:t>
      </w:r>
      <w:hyperlink r:id="rId90" w:history="1">
        <w:r>
          <w:rPr>
            <w:rStyle w:val="Hyperlink"/>
            <w:noProof/>
          </w:rPr>
          <w:t>projet Skills4Nuclear</w:t>
        </w:r>
      </w:hyperlink>
      <w:r>
        <w:rPr>
          <w:noProof/>
        </w:rPr>
        <w:t xml:space="preserve"> soutient le développement d’une main-d’œuvre qualifiée pour les technologies nucléaires existantes et émergentes. Parallèlement, le </w:t>
      </w:r>
      <w:hyperlink r:id="rId91" w:history="1">
        <w:r>
          <w:rPr>
            <w:rStyle w:val="Hyperlink"/>
            <w:noProof/>
          </w:rPr>
          <w:t>partenariat cofinancé PIANOFORTE</w:t>
        </w:r>
      </w:hyperlink>
      <w:r>
        <w:rPr>
          <w:noProof/>
        </w:rPr>
        <w:t xml:space="preserve">, avec 108 partenaires dans 26 pays, a lancé son troisième appel ouvert transnational, sélectionnant six nouveaux projets. Le </w:t>
      </w:r>
      <w:hyperlink r:id="rId92" w:history="1">
        <w:r>
          <w:rPr>
            <w:rStyle w:val="Hyperlink"/>
            <w:noProof/>
          </w:rPr>
          <w:t>partenariat cofinancé EURAD 2</w:t>
        </w:r>
      </w:hyperlink>
      <w:r>
        <w:rPr>
          <w:noProof/>
        </w:rPr>
        <w:t xml:space="preserve"> a encore renforcé les capacités européennes par le lancement de son programme de mobilité.</w:t>
      </w:r>
    </w:p>
    <w:p w14:paraId="642A59E8" w14:textId="2EDCCAD8" w:rsidR="00C52261" w:rsidRPr="005E08A9" w:rsidRDefault="00602ED7" w:rsidP="00CE4E4E">
      <w:pPr>
        <w:spacing w:line="257" w:lineRule="auto"/>
        <w:rPr>
          <w:rFonts w:eastAsia="Aptos"/>
          <w:noProof/>
        </w:rPr>
      </w:pPr>
      <w:r>
        <w:rPr>
          <w:rFonts w:eastAsia="Aptos"/>
          <w:noProof/>
        </w:rPr>
        <w:br w:type="page"/>
      </w:r>
    </w:p>
    <w:p w14:paraId="44EE5BD1" w14:textId="660C0314" w:rsidR="00517B47" w:rsidRPr="005E08A9" w:rsidRDefault="00521402" w:rsidP="00CE4E4E">
      <w:pPr>
        <w:pStyle w:val="Heading1"/>
        <w:spacing w:before="120"/>
        <w:rPr>
          <w:noProof/>
        </w:rPr>
      </w:pPr>
      <w:r>
        <w:rPr>
          <w:noProof/>
        </w:rPr>
        <w:t>Perspectives pour 2026</w:t>
      </w:r>
    </w:p>
    <w:p w14:paraId="11BA06B1" w14:textId="44624EBE" w:rsidR="00E91C83" w:rsidRPr="005E08A9" w:rsidRDefault="00E91C83" w:rsidP="00CE4E4E">
      <w:pPr>
        <w:rPr>
          <w:noProof/>
          <w:color w:val="000000" w:themeColor="text1"/>
        </w:rPr>
      </w:pPr>
      <w:r>
        <w:rPr>
          <w:noProof/>
          <w:color w:val="000000" w:themeColor="text1"/>
        </w:rPr>
        <w:t>En 2026, la Commission entend renforcer l’écosystème européen de la R&amp;I au moyen de l’</w:t>
      </w:r>
      <w:r>
        <w:rPr>
          <w:b/>
          <w:noProof/>
          <w:color w:val="000000" w:themeColor="text1"/>
        </w:rPr>
        <w:t>acte législatif européen sur l’innovation</w:t>
      </w:r>
      <w:r>
        <w:rPr>
          <w:noProof/>
          <w:color w:val="000000" w:themeColor="text1"/>
        </w:rPr>
        <w:t xml:space="preserve"> et de l’</w:t>
      </w:r>
      <w:r>
        <w:rPr>
          <w:b/>
          <w:noProof/>
          <w:color w:val="000000" w:themeColor="text1"/>
        </w:rPr>
        <w:t>acte législatif sur l’espace européen de la recherche</w:t>
      </w:r>
      <w:r>
        <w:rPr>
          <w:noProof/>
          <w:color w:val="000000" w:themeColor="text1"/>
        </w:rPr>
        <w:t>. Ceux-ci accéléreront l’adoption de l’innovation par le marché, aligneront les priorités de l’UE et les priorités nationales et contribueront à atteindre l’objectif d’investissement de 3 % du PIB dans la R&amp;I dans l’ensemble de l’UE. Ces initiatives contribueront à mettre sur le marché des idées innovantes dans tous les secteurs, en réduisant la fragmentation, et renforceront la libre circulation des chercheurs, des connaissances et des technologies.</w:t>
      </w:r>
    </w:p>
    <w:p w14:paraId="074546E8" w14:textId="5B5AAA0D" w:rsidR="00094173" w:rsidRPr="005E08A9" w:rsidRDefault="00E91C83" w:rsidP="00CE4E4E">
      <w:pPr>
        <w:rPr>
          <w:noProof/>
          <w:color w:val="000000" w:themeColor="text1"/>
        </w:rPr>
      </w:pPr>
      <w:r>
        <w:rPr>
          <w:noProof/>
          <w:color w:val="000000" w:themeColor="text1"/>
        </w:rPr>
        <w:t xml:space="preserve">L’année 2026 verra le lancement du </w:t>
      </w:r>
      <w:hyperlink r:id="rId93" w:history="1">
        <w:r>
          <w:rPr>
            <w:rStyle w:val="Hyperlink"/>
            <w:b/>
            <w:noProof/>
          </w:rPr>
          <w:t>Fonds «Scale-up Europe»</w:t>
        </w:r>
      </w:hyperlink>
      <w:r>
        <w:rPr>
          <w:noProof/>
          <w:color w:val="000000" w:themeColor="text1"/>
        </w:rPr>
        <w:t>, doté de plusieurs milliards d’euros et destiné à soutenir les entreprises technologiques stratégiques les plus prometteuses d’Europe, et de l’</w:t>
      </w:r>
      <w:hyperlink r:id="rId94" w:history="1">
        <w:r>
          <w:rPr>
            <w:rStyle w:val="Hyperlink"/>
            <w:b/>
            <w:noProof/>
          </w:rPr>
          <w:t>acte législatif sur les matériaux avancés</w:t>
        </w:r>
      </w:hyperlink>
      <w:r>
        <w:rPr>
          <w:noProof/>
          <w:color w:val="000000" w:themeColor="text1"/>
        </w:rPr>
        <w:t xml:space="preserve">, qui vise à accélérer l’innovation et l’expansion des matériaux avancés. De nouvelles initiatives en matière de R&amp;I seront également lancées dans des domaines tels que </w:t>
      </w:r>
      <w:r>
        <w:rPr>
          <w:b/>
          <w:noProof/>
          <w:color w:val="000000" w:themeColor="text1"/>
        </w:rPr>
        <w:t>l’IA, les batteries, l’accès aux données, la santé, le climat,</w:t>
      </w:r>
      <w:r>
        <w:rPr>
          <w:noProof/>
          <w:color w:val="000000" w:themeColor="text1"/>
        </w:rPr>
        <w:t xml:space="preserve"> </w:t>
      </w:r>
      <w:r>
        <w:rPr>
          <w:b/>
          <w:noProof/>
          <w:color w:val="000000" w:themeColor="text1"/>
        </w:rPr>
        <w:t>l’agriculture, le développement rural, la biodiversité</w:t>
      </w:r>
      <w:r>
        <w:rPr>
          <w:noProof/>
          <w:color w:val="000000" w:themeColor="text1"/>
        </w:rPr>
        <w:t xml:space="preserve"> et </w:t>
      </w:r>
      <w:r>
        <w:rPr>
          <w:b/>
          <w:noProof/>
          <w:color w:val="000000" w:themeColor="text1"/>
        </w:rPr>
        <w:t>la résilience des océans</w:t>
      </w:r>
      <w:r>
        <w:rPr>
          <w:noProof/>
          <w:color w:val="000000" w:themeColor="text1"/>
        </w:rPr>
        <w:t xml:space="preserve"> </w:t>
      </w:r>
      <w:r>
        <w:rPr>
          <w:b/>
          <w:noProof/>
          <w:color w:val="000000" w:themeColor="text1"/>
        </w:rPr>
        <w:t>et de l’eau</w:t>
      </w:r>
      <w:r>
        <w:rPr>
          <w:noProof/>
          <w:color w:val="000000" w:themeColor="text1"/>
        </w:rPr>
        <w:t>, entre autres.</w:t>
      </w:r>
    </w:p>
    <w:sectPr w:rsidR="00094173" w:rsidRPr="005E08A9" w:rsidSect="00A75E58">
      <w:headerReference w:type="even" r:id="rId95"/>
      <w:headerReference w:type="default" r:id="rId96"/>
      <w:footerReference w:type="even" r:id="rId97"/>
      <w:footerReference w:type="default" r:id="rId98"/>
      <w:headerReference w:type="first" r:id="rId99"/>
      <w:footerReference w:type="first" r:id="rId100"/>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459F39" w14:textId="77777777" w:rsidR="00CA7B55" w:rsidRDefault="00CA7B55" w:rsidP="00517B47">
      <w:pPr>
        <w:spacing w:before="0" w:after="0"/>
      </w:pPr>
      <w:r>
        <w:separator/>
      </w:r>
    </w:p>
  </w:endnote>
  <w:endnote w:type="continuationSeparator" w:id="0">
    <w:p w14:paraId="407A1F26" w14:textId="77777777" w:rsidR="00CA7B55" w:rsidRDefault="00CA7B55" w:rsidP="00517B47">
      <w:pPr>
        <w:spacing w:before="0" w:after="0"/>
      </w:pPr>
      <w:r>
        <w:continuationSeparator/>
      </w:r>
    </w:p>
  </w:endnote>
  <w:endnote w:type="continuationNotice" w:id="1">
    <w:p w14:paraId="198615EC" w14:textId="77777777" w:rsidR="00CA7B55" w:rsidRDefault="00CA7B5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Yu Mincho">
    <w:altName w:val="游明朝"/>
    <w:charset w:val="80"/>
    <w:family w:val="roman"/>
    <w:pitch w:val="variable"/>
    <w:sig w:usb0="800002E7" w:usb1="2AC7FCFF" w:usb2="00000012" w:usb3="00000000" w:csb0="0002009F" w:csb1="00000000"/>
  </w:font>
  <w:font w:name="Aptos">
    <w:altName w:val="Arial"/>
    <w:panose1 w:val="00000000000000000000"/>
    <w:charset w:val="00"/>
    <w:family w:val="roman"/>
    <w:notTrueType/>
    <w:pitch w:val="default"/>
  </w:font>
  <w:font w:name="Times New Roman_MSFontService">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618B1" w14:textId="7ED75A73" w:rsidR="00065C85" w:rsidRPr="00065C85" w:rsidRDefault="00065C85" w:rsidP="00065C85">
    <w:pPr>
      <w:pStyle w:val="FooterCoverPage"/>
      <w:rPr>
        <w:rFonts w:ascii="Arial" w:hAnsi="Arial" w:cs="Arial"/>
        <w:b/>
        <w:sz w:val="48"/>
      </w:rPr>
    </w:pPr>
    <w:r w:rsidRPr="00065C85">
      <w:rPr>
        <w:rFonts w:ascii="Arial" w:hAnsi="Arial" w:cs="Arial"/>
        <w:b/>
        <w:sz w:val="48"/>
      </w:rPr>
      <w:t>FR</w:t>
    </w:r>
    <w:r w:rsidRPr="00065C85">
      <w:rPr>
        <w:rFonts w:ascii="Arial" w:hAnsi="Arial" w:cs="Arial"/>
        <w:b/>
        <w:sz w:val="48"/>
      </w:rPr>
      <w:tab/>
    </w:r>
    <w:r w:rsidRPr="00065C85">
      <w:rPr>
        <w:rFonts w:ascii="Arial" w:hAnsi="Arial" w:cs="Arial"/>
        <w:b/>
        <w:sz w:val="48"/>
      </w:rPr>
      <w:tab/>
    </w:r>
    <w:r w:rsidRPr="00065C85">
      <w:tab/>
    </w:r>
    <w:r w:rsidRPr="00065C8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D6D24" w14:textId="0542A92A" w:rsidR="00065C85" w:rsidRPr="00065C85" w:rsidRDefault="00065C85" w:rsidP="00065C85">
    <w:pPr>
      <w:pStyle w:val="FooterCoverPage"/>
      <w:rPr>
        <w:rFonts w:ascii="Arial" w:hAnsi="Arial" w:cs="Arial"/>
        <w:b/>
        <w:sz w:val="48"/>
      </w:rPr>
    </w:pPr>
    <w:r w:rsidRPr="00065C85">
      <w:rPr>
        <w:rFonts w:ascii="Arial" w:hAnsi="Arial" w:cs="Arial"/>
        <w:b/>
        <w:sz w:val="48"/>
      </w:rPr>
      <w:t>FR</w:t>
    </w:r>
    <w:r w:rsidRPr="00065C85">
      <w:rPr>
        <w:rFonts w:ascii="Arial" w:hAnsi="Arial" w:cs="Arial"/>
        <w:b/>
        <w:sz w:val="48"/>
      </w:rPr>
      <w:tab/>
    </w:r>
    <w:r w:rsidRPr="00065C85">
      <w:rPr>
        <w:rFonts w:ascii="Arial" w:hAnsi="Arial" w:cs="Arial"/>
        <w:b/>
        <w:sz w:val="48"/>
      </w:rPr>
      <w:tab/>
    </w:r>
    <w:r w:rsidRPr="00065C85">
      <w:tab/>
    </w:r>
    <w:r w:rsidRPr="00065C8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B5351" w14:textId="77777777" w:rsidR="00065C85" w:rsidRPr="00065C85" w:rsidRDefault="00065C85" w:rsidP="00065C8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EF193" w14:textId="77777777" w:rsidR="00B808DD" w:rsidRDefault="00B808DD">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2D186" w14:textId="556B4284" w:rsidR="00724DAD" w:rsidRDefault="00724DAD">
    <w:pPr>
      <w:pStyle w:val="FooterLine"/>
      <w:jc w:val="center"/>
    </w:pPr>
    <w:r>
      <w:fldChar w:fldCharType="begin"/>
    </w:r>
    <w:r>
      <w:instrText>PAGE   \* MERGEFORMAT</w:instrText>
    </w:r>
    <w:r>
      <w:fldChar w:fldCharType="separate"/>
    </w:r>
    <w:r w:rsidR="00065C85">
      <w:rPr>
        <w:noProof/>
      </w:rPr>
      <w:t>6</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42266" w14:textId="77777777" w:rsidR="002E1CD5" w:rsidRDefault="002E1C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0F082D" w14:textId="77777777" w:rsidR="00CA7B55" w:rsidRDefault="00CA7B55" w:rsidP="00517B47">
      <w:pPr>
        <w:spacing w:before="0" w:after="0"/>
      </w:pPr>
      <w:r>
        <w:separator/>
      </w:r>
    </w:p>
  </w:footnote>
  <w:footnote w:type="continuationSeparator" w:id="0">
    <w:p w14:paraId="7FE7728D" w14:textId="77777777" w:rsidR="00CA7B55" w:rsidRDefault="00CA7B55" w:rsidP="00517B47">
      <w:pPr>
        <w:spacing w:before="0" w:after="0"/>
      </w:pPr>
      <w:r>
        <w:continuationSeparator/>
      </w:r>
    </w:p>
  </w:footnote>
  <w:footnote w:type="continuationNotice" w:id="1">
    <w:p w14:paraId="62AA5691" w14:textId="77777777" w:rsidR="00CA7B55" w:rsidRDefault="00CA7B55">
      <w:pPr>
        <w:spacing w:before="0" w:after="0"/>
      </w:pPr>
    </w:p>
  </w:footnote>
  <w:footnote w:id="2">
    <w:p w14:paraId="6C33D74B" w14:textId="77777777" w:rsidR="00F96509" w:rsidRPr="00F10561" w:rsidRDefault="00F96509" w:rsidP="00F96509">
      <w:pPr>
        <w:pStyle w:val="FootnoteText"/>
      </w:pPr>
      <w:r>
        <w:rPr>
          <w:rStyle w:val="FootnoteReference"/>
        </w:rPr>
        <w:footnoteRef/>
      </w:r>
      <w:r>
        <w:t xml:space="preserve"> Nombre de propositions éligibles soumises uniquement dans le cadre des appels clôturés et entièrement évalués.</w:t>
      </w:r>
    </w:p>
  </w:footnote>
  <w:footnote w:id="3">
    <w:p w14:paraId="1BD73FB9" w14:textId="57356D26" w:rsidR="00F96509" w:rsidRPr="005F37BF" w:rsidRDefault="00F96509" w:rsidP="00F96509">
      <w:pPr>
        <w:pStyle w:val="FootnoteText"/>
      </w:pPr>
      <w:r>
        <w:rPr>
          <w:rStyle w:val="FootnoteReference"/>
        </w:rPr>
        <w:footnoteRef/>
      </w:r>
      <w:r>
        <w:t xml:space="preserve"> Instrument destiné aux PME non inclus.</w:t>
      </w:r>
    </w:p>
  </w:footnote>
  <w:footnote w:id="4">
    <w:p w14:paraId="0F34EE58" w14:textId="7062C401" w:rsidR="00353AF7" w:rsidRPr="005E7B29" w:rsidRDefault="00353AF7">
      <w:pPr>
        <w:pStyle w:val="FootnoteText"/>
      </w:pPr>
      <w:r>
        <w:rPr>
          <w:rStyle w:val="FootnoteReference"/>
        </w:rPr>
        <w:footnoteRef/>
      </w:r>
      <w:r>
        <w:t xml:space="preserve"> Pour de plus amples informations sur les entreprises soutenues par le Fonds du CEI, voir le </w:t>
      </w:r>
      <w:hyperlink r:id="rId1" w:history="1">
        <w:r>
          <w:rPr>
            <w:rStyle w:val="Hyperlink"/>
          </w:rPr>
          <w:t>rapport d’i</w:t>
        </w:r>
        <w:bookmarkStart w:id="6" w:name="_Hlt225512406"/>
        <w:bookmarkStart w:id="7" w:name="_Hlt225512407"/>
        <w:r>
          <w:rPr>
            <w:rStyle w:val="Hyperlink"/>
          </w:rPr>
          <w:t>m</w:t>
        </w:r>
        <w:bookmarkEnd w:id="6"/>
        <w:bookmarkEnd w:id="7"/>
        <w:r>
          <w:rPr>
            <w:rStyle w:val="Hyperlink"/>
          </w:rPr>
          <w:t>pact 2025 du CEI</w:t>
        </w:r>
      </w:hyperlink>
      <w:r>
        <w:t>.</w:t>
      </w:r>
    </w:p>
  </w:footnote>
  <w:footnote w:id="5">
    <w:p w14:paraId="2BB47034" w14:textId="0A087E54" w:rsidR="00F96509" w:rsidRPr="00D51F74" w:rsidRDefault="00F96509" w:rsidP="00BC5951">
      <w:pPr>
        <w:pStyle w:val="FootnoteText"/>
        <w:ind w:left="0" w:firstLine="0"/>
      </w:pPr>
      <w:r>
        <w:rPr>
          <w:rStyle w:val="FootnoteReference"/>
        </w:rPr>
        <w:footnoteRef/>
      </w:r>
      <w:r>
        <w:t xml:space="preserve"> Ce chiffre ne concerne que les subventions accordées pour la mise en place des communautés de la connaissance et de l’innovation de l’EIT, qui sont ensuite chargées de mettre en œuvre les activités.</w:t>
      </w:r>
    </w:p>
  </w:footnote>
  <w:footnote w:id="6">
    <w:p w14:paraId="4441461E" w14:textId="717FB0A0" w:rsidR="00F96509" w:rsidRPr="000126EA" w:rsidRDefault="00F96509" w:rsidP="00F96509">
      <w:pPr>
        <w:pStyle w:val="FootnoteText"/>
      </w:pPr>
      <w:r>
        <w:rPr>
          <w:rStyle w:val="FootnoteReference"/>
        </w:rPr>
        <w:footnoteRef/>
      </w:r>
      <w:r>
        <w:t xml:space="preserve"> Parmi les participants uniques.</w:t>
      </w:r>
    </w:p>
  </w:footnote>
  <w:footnote w:id="7">
    <w:p w14:paraId="172BD4D4" w14:textId="6C077FA1" w:rsidR="00F96509" w:rsidRPr="00CC4511" w:rsidRDefault="00F96509" w:rsidP="00F96509">
      <w:pPr>
        <w:pStyle w:val="FootnoteText"/>
        <w:tabs>
          <w:tab w:val="left" w:pos="2509"/>
        </w:tabs>
        <w:ind w:left="0" w:firstLine="0"/>
      </w:pPr>
      <w:r>
        <w:rPr>
          <w:rStyle w:val="FootnoteReference"/>
        </w:rPr>
        <w:footnoteRef/>
      </w:r>
      <w:r>
        <w:t xml:space="preserve"> États membres uniquement (Bulgarie, Chypre, Croatie, Estonie, Grèce, Hongrie, Lettonie, Lituanie, Malte, Pologne, Portugal, Roumanie, Slovaquie, Slovénie et Tchéquie).</w:t>
      </w:r>
    </w:p>
  </w:footnote>
  <w:footnote w:id="8">
    <w:p w14:paraId="131DAB6A" w14:textId="77777777" w:rsidR="00F96509" w:rsidRPr="00D93E70" w:rsidRDefault="00F96509" w:rsidP="00F96509">
      <w:pPr>
        <w:pStyle w:val="FootnoteText"/>
      </w:pPr>
      <w:r>
        <w:rPr>
          <w:rStyle w:val="FootnoteReference"/>
        </w:rPr>
        <w:footnoteRef/>
      </w:r>
      <w:r>
        <w:t xml:space="preserve"> Le JRC et l’EIT ne sont pas inclus dans le calcul. </w:t>
      </w:r>
    </w:p>
  </w:footnote>
  <w:footnote w:id="9">
    <w:p w14:paraId="7445C35E" w14:textId="76B82FE8" w:rsidR="00F96509" w:rsidRPr="000126EA" w:rsidRDefault="00F96509" w:rsidP="00F96509">
      <w:pPr>
        <w:pStyle w:val="FootnoteText"/>
      </w:pPr>
      <w:r>
        <w:rPr>
          <w:rStyle w:val="FootnoteReference"/>
        </w:rPr>
        <w:footnoteRef/>
      </w:r>
      <w:r>
        <w:t xml:space="preserve"> Partenariats institutionnalisés sur la base de l’article 187 du TFUE.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7C3C0" w14:textId="77777777" w:rsidR="00065C85" w:rsidRPr="00065C85" w:rsidRDefault="00065C85" w:rsidP="00065C8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D8CD7" w14:textId="77777777" w:rsidR="00065C85" w:rsidRPr="00065C85" w:rsidRDefault="00065C85" w:rsidP="00065C8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E34A8" w14:textId="77777777" w:rsidR="00065C85" w:rsidRPr="00065C85" w:rsidRDefault="00065C85" w:rsidP="00065C8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57E43" w14:textId="77777777" w:rsidR="00152F50" w:rsidRDefault="00152F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DCD9E" w14:textId="77777777" w:rsidR="001C0138" w:rsidRDefault="001C013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28670" w14:textId="77777777" w:rsidR="000C0139" w:rsidRDefault="000C01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06263A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0590BC0"/>
    <w:multiLevelType w:val="hybridMultilevel"/>
    <w:tmpl w:val="ECD40D9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F631E0"/>
    <w:multiLevelType w:val="hybridMultilevel"/>
    <w:tmpl w:val="86225F24"/>
    <w:lvl w:ilvl="0" w:tplc="4790DB26">
      <w:start w:val="1"/>
      <w:numFmt w:val="bullet"/>
      <w:lvlText w:val=""/>
      <w:lvlJc w:val="left"/>
      <w:pPr>
        <w:ind w:left="720" w:hanging="360"/>
      </w:pPr>
      <w:rPr>
        <w:rFonts w:ascii="Symbol" w:hAnsi="Symbol" w:hint="default"/>
      </w:rPr>
    </w:lvl>
    <w:lvl w:ilvl="1" w:tplc="C922B58E">
      <w:start w:val="1"/>
      <w:numFmt w:val="bullet"/>
      <w:lvlText w:val="o"/>
      <w:lvlJc w:val="left"/>
      <w:pPr>
        <w:ind w:left="1440" w:hanging="360"/>
      </w:pPr>
      <w:rPr>
        <w:rFonts w:ascii="Courier New" w:hAnsi="Courier New" w:hint="default"/>
      </w:rPr>
    </w:lvl>
    <w:lvl w:ilvl="2" w:tplc="BF9657DE">
      <w:start w:val="1"/>
      <w:numFmt w:val="bullet"/>
      <w:lvlText w:val=""/>
      <w:lvlJc w:val="left"/>
      <w:pPr>
        <w:ind w:left="2160" w:hanging="360"/>
      </w:pPr>
      <w:rPr>
        <w:rFonts w:ascii="Wingdings" w:hAnsi="Wingdings" w:hint="default"/>
      </w:rPr>
    </w:lvl>
    <w:lvl w:ilvl="3" w:tplc="62DE46FE">
      <w:start w:val="1"/>
      <w:numFmt w:val="bullet"/>
      <w:lvlText w:val=""/>
      <w:lvlJc w:val="left"/>
      <w:pPr>
        <w:ind w:left="2880" w:hanging="360"/>
      </w:pPr>
      <w:rPr>
        <w:rFonts w:ascii="Symbol" w:hAnsi="Symbol" w:hint="default"/>
      </w:rPr>
    </w:lvl>
    <w:lvl w:ilvl="4" w:tplc="058661B4">
      <w:start w:val="1"/>
      <w:numFmt w:val="bullet"/>
      <w:lvlText w:val="o"/>
      <w:lvlJc w:val="left"/>
      <w:pPr>
        <w:ind w:left="3600" w:hanging="360"/>
      </w:pPr>
      <w:rPr>
        <w:rFonts w:ascii="Courier New" w:hAnsi="Courier New" w:hint="default"/>
      </w:rPr>
    </w:lvl>
    <w:lvl w:ilvl="5" w:tplc="A6245530">
      <w:start w:val="1"/>
      <w:numFmt w:val="bullet"/>
      <w:lvlText w:val=""/>
      <w:lvlJc w:val="left"/>
      <w:pPr>
        <w:ind w:left="4320" w:hanging="360"/>
      </w:pPr>
      <w:rPr>
        <w:rFonts w:ascii="Wingdings" w:hAnsi="Wingdings" w:hint="default"/>
      </w:rPr>
    </w:lvl>
    <w:lvl w:ilvl="6" w:tplc="7116D73C">
      <w:start w:val="1"/>
      <w:numFmt w:val="bullet"/>
      <w:lvlText w:val=""/>
      <w:lvlJc w:val="left"/>
      <w:pPr>
        <w:ind w:left="5040" w:hanging="360"/>
      </w:pPr>
      <w:rPr>
        <w:rFonts w:ascii="Symbol" w:hAnsi="Symbol" w:hint="default"/>
      </w:rPr>
    </w:lvl>
    <w:lvl w:ilvl="7" w:tplc="B47C979E">
      <w:start w:val="1"/>
      <w:numFmt w:val="bullet"/>
      <w:lvlText w:val="o"/>
      <w:lvlJc w:val="left"/>
      <w:pPr>
        <w:ind w:left="5760" w:hanging="360"/>
      </w:pPr>
      <w:rPr>
        <w:rFonts w:ascii="Courier New" w:hAnsi="Courier New" w:hint="default"/>
      </w:rPr>
    </w:lvl>
    <w:lvl w:ilvl="8" w:tplc="166A2042">
      <w:start w:val="1"/>
      <w:numFmt w:val="bullet"/>
      <w:lvlText w:val=""/>
      <w:lvlJc w:val="left"/>
      <w:pPr>
        <w:ind w:left="6480" w:hanging="360"/>
      </w:pPr>
      <w:rPr>
        <w:rFonts w:ascii="Wingdings" w:hAnsi="Wingdings" w:hint="default"/>
      </w:rPr>
    </w:lvl>
  </w:abstractNum>
  <w:abstractNum w:abstractNumId="3" w15:restartNumberingAfterBreak="0">
    <w:nsid w:val="094A4C44"/>
    <w:multiLevelType w:val="hybridMultilevel"/>
    <w:tmpl w:val="FFFFFFFF"/>
    <w:lvl w:ilvl="0" w:tplc="B2A6F664">
      <w:start w:val="1"/>
      <w:numFmt w:val="bullet"/>
      <w:lvlText w:val="§"/>
      <w:lvlJc w:val="left"/>
      <w:pPr>
        <w:ind w:left="720" w:hanging="360"/>
      </w:pPr>
      <w:rPr>
        <w:rFonts w:ascii="Wingdings" w:hAnsi="Wingdings" w:hint="default"/>
      </w:rPr>
    </w:lvl>
    <w:lvl w:ilvl="1" w:tplc="2200A040">
      <w:start w:val="1"/>
      <w:numFmt w:val="bullet"/>
      <w:lvlText w:val="o"/>
      <w:lvlJc w:val="left"/>
      <w:pPr>
        <w:ind w:left="1440" w:hanging="360"/>
      </w:pPr>
      <w:rPr>
        <w:rFonts w:ascii="Courier New" w:hAnsi="Courier New" w:hint="default"/>
      </w:rPr>
    </w:lvl>
    <w:lvl w:ilvl="2" w:tplc="32BCAC98">
      <w:start w:val="1"/>
      <w:numFmt w:val="bullet"/>
      <w:lvlText w:val=""/>
      <w:lvlJc w:val="left"/>
      <w:pPr>
        <w:ind w:left="2160" w:hanging="360"/>
      </w:pPr>
      <w:rPr>
        <w:rFonts w:ascii="Wingdings" w:hAnsi="Wingdings" w:hint="default"/>
      </w:rPr>
    </w:lvl>
    <w:lvl w:ilvl="3" w:tplc="C2220D5C">
      <w:start w:val="1"/>
      <w:numFmt w:val="bullet"/>
      <w:lvlText w:val=""/>
      <w:lvlJc w:val="left"/>
      <w:pPr>
        <w:ind w:left="2880" w:hanging="360"/>
      </w:pPr>
      <w:rPr>
        <w:rFonts w:ascii="Symbol" w:hAnsi="Symbol" w:hint="default"/>
      </w:rPr>
    </w:lvl>
    <w:lvl w:ilvl="4" w:tplc="C4E65900">
      <w:start w:val="1"/>
      <w:numFmt w:val="bullet"/>
      <w:lvlText w:val="o"/>
      <w:lvlJc w:val="left"/>
      <w:pPr>
        <w:ind w:left="3600" w:hanging="360"/>
      </w:pPr>
      <w:rPr>
        <w:rFonts w:ascii="Courier New" w:hAnsi="Courier New" w:hint="default"/>
      </w:rPr>
    </w:lvl>
    <w:lvl w:ilvl="5" w:tplc="DDAE14C8">
      <w:start w:val="1"/>
      <w:numFmt w:val="bullet"/>
      <w:lvlText w:val=""/>
      <w:lvlJc w:val="left"/>
      <w:pPr>
        <w:ind w:left="4320" w:hanging="360"/>
      </w:pPr>
      <w:rPr>
        <w:rFonts w:ascii="Wingdings" w:hAnsi="Wingdings" w:hint="default"/>
      </w:rPr>
    </w:lvl>
    <w:lvl w:ilvl="6" w:tplc="AEC66F94">
      <w:start w:val="1"/>
      <w:numFmt w:val="bullet"/>
      <w:lvlText w:val=""/>
      <w:lvlJc w:val="left"/>
      <w:pPr>
        <w:ind w:left="5040" w:hanging="360"/>
      </w:pPr>
      <w:rPr>
        <w:rFonts w:ascii="Symbol" w:hAnsi="Symbol" w:hint="default"/>
      </w:rPr>
    </w:lvl>
    <w:lvl w:ilvl="7" w:tplc="0738462E">
      <w:start w:val="1"/>
      <w:numFmt w:val="bullet"/>
      <w:lvlText w:val="o"/>
      <w:lvlJc w:val="left"/>
      <w:pPr>
        <w:ind w:left="5760" w:hanging="360"/>
      </w:pPr>
      <w:rPr>
        <w:rFonts w:ascii="Courier New" w:hAnsi="Courier New" w:hint="default"/>
      </w:rPr>
    </w:lvl>
    <w:lvl w:ilvl="8" w:tplc="E9D2BDA6">
      <w:start w:val="1"/>
      <w:numFmt w:val="bullet"/>
      <w:lvlText w:val=""/>
      <w:lvlJc w:val="left"/>
      <w:pPr>
        <w:ind w:left="6480" w:hanging="360"/>
      </w:pPr>
      <w:rPr>
        <w:rFonts w:ascii="Wingdings" w:hAnsi="Wingdings" w:hint="default"/>
      </w:rPr>
    </w:lvl>
  </w:abstractNum>
  <w:abstractNum w:abstractNumId="4" w15:restartNumberingAfterBreak="0">
    <w:nsid w:val="0A2900F7"/>
    <w:multiLevelType w:val="multilevel"/>
    <w:tmpl w:val="7444DB9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0C537B31"/>
    <w:multiLevelType w:val="hybridMultilevel"/>
    <w:tmpl w:val="AD2AD2FA"/>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216538"/>
    <w:multiLevelType w:val="multilevel"/>
    <w:tmpl w:val="26BC6770"/>
    <w:lvl w:ilvl="0">
      <w:start w:val="1"/>
      <w:numFmt w:val="decimal"/>
      <w:pStyle w:val="HeaderSensitivityRight"/>
      <w:lvlText w:val="%1."/>
      <w:lvlJc w:val="left"/>
      <w:pPr>
        <w:ind w:left="502" w:hanging="360"/>
      </w:pPr>
      <w:rPr>
        <w:rFonts w:hint="default"/>
        <w:b/>
        <w:i w:val="0"/>
      </w:rPr>
    </w:lvl>
    <w:lvl w:ilvl="1">
      <w:start w:val="2"/>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0EFB7115"/>
    <w:multiLevelType w:val="multilevel"/>
    <w:tmpl w:val="0C2C547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20B7201"/>
    <w:multiLevelType w:val="multilevel"/>
    <w:tmpl w:val="00C4D5A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20B8345"/>
    <w:multiLevelType w:val="multilevel"/>
    <w:tmpl w:val="6540B2E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262685D"/>
    <w:multiLevelType w:val="multilevel"/>
    <w:tmpl w:val="3384B128"/>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43D0A16"/>
    <w:multiLevelType w:val="multilevel"/>
    <w:tmpl w:val="FE12A71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72F0AC5"/>
    <w:multiLevelType w:val="multilevel"/>
    <w:tmpl w:val="BFF4A5B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94E7930"/>
    <w:multiLevelType w:val="hybridMultilevel"/>
    <w:tmpl w:val="D2964DF2"/>
    <w:lvl w:ilvl="0" w:tplc="CFB86FA8">
      <w:start w:val="1"/>
      <w:numFmt w:val="lowerLetter"/>
      <w:lvlText w:val="%1)"/>
      <w:lvlJc w:val="left"/>
      <w:pPr>
        <w:ind w:left="1210" w:hanging="360"/>
      </w:pPr>
      <w:rPr>
        <w:rFonts w:hint="default"/>
        <w:lang w:val="en-GB"/>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4" w15:restartNumberingAfterBreak="0">
    <w:nsid w:val="1A1A6EFE"/>
    <w:multiLevelType w:val="hybridMultilevel"/>
    <w:tmpl w:val="4FA61270"/>
    <w:lvl w:ilvl="0" w:tplc="CB6C8E8E">
      <w:start w:val="1"/>
      <w:numFmt w:val="bullet"/>
      <w:lvlText w:val="·"/>
      <w:lvlJc w:val="left"/>
      <w:pPr>
        <w:ind w:left="-130" w:hanging="360"/>
      </w:pPr>
      <w:rPr>
        <w:rFonts w:ascii="Symbol" w:hAnsi="Symbol" w:hint="default"/>
      </w:rPr>
    </w:lvl>
    <w:lvl w:ilvl="1" w:tplc="7076BCBE">
      <w:start w:val="1"/>
      <w:numFmt w:val="bullet"/>
      <w:lvlText w:val="o"/>
      <w:lvlJc w:val="left"/>
      <w:pPr>
        <w:ind w:left="590" w:hanging="360"/>
      </w:pPr>
      <w:rPr>
        <w:rFonts w:ascii="Courier New" w:hAnsi="Courier New" w:hint="default"/>
      </w:rPr>
    </w:lvl>
    <w:lvl w:ilvl="2" w:tplc="5CD6ED30">
      <w:start w:val="1"/>
      <w:numFmt w:val="bullet"/>
      <w:lvlText w:val=""/>
      <w:lvlJc w:val="left"/>
      <w:pPr>
        <w:ind w:left="1310" w:hanging="360"/>
      </w:pPr>
      <w:rPr>
        <w:rFonts w:ascii="Wingdings" w:hAnsi="Wingdings" w:hint="default"/>
      </w:rPr>
    </w:lvl>
    <w:lvl w:ilvl="3" w:tplc="0A94454E">
      <w:start w:val="1"/>
      <w:numFmt w:val="bullet"/>
      <w:lvlText w:val=""/>
      <w:lvlJc w:val="left"/>
      <w:pPr>
        <w:ind w:left="2030" w:hanging="360"/>
      </w:pPr>
      <w:rPr>
        <w:rFonts w:ascii="Symbol" w:hAnsi="Symbol" w:hint="default"/>
      </w:rPr>
    </w:lvl>
    <w:lvl w:ilvl="4" w:tplc="36B65C00">
      <w:start w:val="1"/>
      <w:numFmt w:val="bullet"/>
      <w:lvlText w:val="o"/>
      <w:lvlJc w:val="left"/>
      <w:pPr>
        <w:ind w:left="2750" w:hanging="360"/>
      </w:pPr>
      <w:rPr>
        <w:rFonts w:ascii="Courier New" w:hAnsi="Courier New" w:hint="default"/>
      </w:rPr>
    </w:lvl>
    <w:lvl w:ilvl="5" w:tplc="D5A6C9B0">
      <w:start w:val="1"/>
      <w:numFmt w:val="bullet"/>
      <w:lvlText w:val=""/>
      <w:lvlJc w:val="left"/>
      <w:pPr>
        <w:ind w:left="3470" w:hanging="360"/>
      </w:pPr>
      <w:rPr>
        <w:rFonts w:ascii="Wingdings" w:hAnsi="Wingdings" w:hint="default"/>
      </w:rPr>
    </w:lvl>
    <w:lvl w:ilvl="6" w:tplc="22CE9EFC">
      <w:start w:val="1"/>
      <w:numFmt w:val="bullet"/>
      <w:lvlText w:val=""/>
      <w:lvlJc w:val="left"/>
      <w:pPr>
        <w:ind w:left="4190" w:hanging="360"/>
      </w:pPr>
      <w:rPr>
        <w:rFonts w:ascii="Symbol" w:hAnsi="Symbol" w:hint="default"/>
      </w:rPr>
    </w:lvl>
    <w:lvl w:ilvl="7" w:tplc="A7669D6C">
      <w:start w:val="1"/>
      <w:numFmt w:val="bullet"/>
      <w:lvlText w:val="o"/>
      <w:lvlJc w:val="left"/>
      <w:pPr>
        <w:ind w:left="4910" w:hanging="360"/>
      </w:pPr>
      <w:rPr>
        <w:rFonts w:ascii="Courier New" w:hAnsi="Courier New" w:hint="default"/>
      </w:rPr>
    </w:lvl>
    <w:lvl w:ilvl="8" w:tplc="B96C1DD0">
      <w:start w:val="1"/>
      <w:numFmt w:val="bullet"/>
      <w:lvlText w:val=""/>
      <w:lvlJc w:val="left"/>
      <w:pPr>
        <w:ind w:left="5630" w:hanging="360"/>
      </w:pPr>
      <w:rPr>
        <w:rFonts w:ascii="Wingdings" w:hAnsi="Wingdings" w:hint="default"/>
      </w:rPr>
    </w:lvl>
  </w:abstractNum>
  <w:abstractNum w:abstractNumId="15" w15:restartNumberingAfterBreak="0">
    <w:nsid w:val="1AD35267"/>
    <w:multiLevelType w:val="hybridMultilevel"/>
    <w:tmpl w:val="C084F9FA"/>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7B624F"/>
    <w:multiLevelType w:val="multilevel"/>
    <w:tmpl w:val="41A01D02"/>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1CB45724"/>
    <w:multiLevelType w:val="hybridMultilevel"/>
    <w:tmpl w:val="B128DECA"/>
    <w:lvl w:ilvl="0" w:tplc="08090001">
      <w:start w:val="1"/>
      <w:numFmt w:val="bullet"/>
      <w:lvlText w:val=""/>
      <w:lvlJc w:val="left"/>
      <w:pPr>
        <w:ind w:left="850" w:hanging="360"/>
      </w:pPr>
      <w:rPr>
        <w:rFonts w:ascii="Symbol" w:hAnsi="Symbol" w:hint="default"/>
      </w:rPr>
    </w:lvl>
    <w:lvl w:ilvl="1" w:tplc="08090003" w:tentative="1">
      <w:start w:val="1"/>
      <w:numFmt w:val="bullet"/>
      <w:lvlText w:val="o"/>
      <w:lvlJc w:val="left"/>
      <w:pPr>
        <w:ind w:left="1570" w:hanging="360"/>
      </w:pPr>
      <w:rPr>
        <w:rFonts w:ascii="Courier New" w:hAnsi="Courier New" w:cs="Courier New" w:hint="default"/>
      </w:rPr>
    </w:lvl>
    <w:lvl w:ilvl="2" w:tplc="08090005" w:tentative="1">
      <w:start w:val="1"/>
      <w:numFmt w:val="bullet"/>
      <w:lvlText w:val=""/>
      <w:lvlJc w:val="left"/>
      <w:pPr>
        <w:ind w:left="2290" w:hanging="360"/>
      </w:pPr>
      <w:rPr>
        <w:rFonts w:ascii="Wingdings" w:hAnsi="Wingdings" w:hint="default"/>
      </w:rPr>
    </w:lvl>
    <w:lvl w:ilvl="3" w:tplc="08090001" w:tentative="1">
      <w:start w:val="1"/>
      <w:numFmt w:val="bullet"/>
      <w:lvlText w:val=""/>
      <w:lvlJc w:val="left"/>
      <w:pPr>
        <w:ind w:left="3010" w:hanging="360"/>
      </w:pPr>
      <w:rPr>
        <w:rFonts w:ascii="Symbol" w:hAnsi="Symbol" w:hint="default"/>
      </w:rPr>
    </w:lvl>
    <w:lvl w:ilvl="4" w:tplc="08090003" w:tentative="1">
      <w:start w:val="1"/>
      <w:numFmt w:val="bullet"/>
      <w:lvlText w:val="o"/>
      <w:lvlJc w:val="left"/>
      <w:pPr>
        <w:ind w:left="3730" w:hanging="360"/>
      </w:pPr>
      <w:rPr>
        <w:rFonts w:ascii="Courier New" w:hAnsi="Courier New" w:cs="Courier New" w:hint="default"/>
      </w:rPr>
    </w:lvl>
    <w:lvl w:ilvl="5" w:tplc="08090005" w:tentative="1">
      <w:start w:val="1"/>
      <w:numFmt w:val="bullet"/>
      <w:lvlText w:val=""/>
      <w:lvlJc w:val="left"/>
      <w:pPr>
        <w:ind w:left="4450" w:hanging="360"/>
      </w:pPr>
      <w:rPr>
        <w:rFonts w:ascii="Wingdings" w:hAnsi="Wingdings" w:hint="default"/>
      </w:rPr>
    </w:lvl>
    <w:lvl w:ilvl="6" w:tplc="08090001" w:tentative="1">
      <w:start w:val="1"/>
      <w:numFmt w:val="bullet"/>
      <w:lvlText w:val=""/>
      <w:lvlJc w:val="left"/>
      <w:pPr>
        <w:ind w:left="5170" w:hanging="360"/>
      </w:pPr>
      <w:rPr>
        <w:rFonts w:ascii="Symbol" w:hAnsi="Symbol" w:hint="default"/>
      </w:rPr>
    </w:lvl>
    <w:lvl w:ilvl="7" w:tplc="08090003" w:tentative="1">
      <w:start w:val="1"/>
      <w:numFmt w:val="bullet"/>
      <w:lvlText w:val="o"/>
      <w:lvlJc w:val="left"/>
      <w:pPr>
        <w:ind w:left="5890" w:hanging="360"/>
      </w:pPr>
      <w:rPr>
        <w:rFonts w:ascii="Courier New" w:hAnsi="Courier New" w:cs="Courier New" w:hint="default"/>
      </w:rPr>
    </w:lvl>
    <w:lvl w:ilvl="8" w:tplc="08090005" w:tentative="1">
      <w:start w:val="1"/>
      <w:numFmt w:val="bullet"/>
      <w:lvlText w:val=""/>
      <w:lvlJc w:val="left"/>
      <w:pPr>
        <w:ind w:left="6610" w:hanging="360"/>
      </w:pPr>
      <w:rPr>
        <w:rFonts w:ascii="Wingdings" w:hAnsi="Wingdings" w:hint="default"/>
      </w:rPr>
    </w:lvl>
  </w:abstractNum>
  <w:abstractNum w:abstractNumId="18" w15:restartNumberingAfterBreak="0">
    <w:nsid w:val="24AF0002"/>
    <w:multiLevelType w:val="hybridMultilevel"/>
    <w:tmpl w:val="F07C56B2"/>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2C8DFDF8"/>
    <w:multiLevelType w:val="multilevel"/>
    <w:tmpl w:val="23806158"/>
    <w:name w:val="ListBullet2Numbering"/>
    <w:lvl w:ilvl="0">
      <w:start w:val="1"/>
      <w:numFmt w:val="bullet"/>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2D293CE3"/>
    <w:multiLevelType w:val="multilevel"/>
    <w:tmpl w:val="336E49A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2D293CF4"/>
    <w:multiLevelType w:val="multilevel"/>
    <w:tmpl w:val="E3D4FD1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2ED3529B"/>
    <w:multiLevelType w:val="hybridMultilevel"/>
    <w:tmpl w:val="FFFFFFFF"/>
    <w:lvl w:ilvl="0" w:tplc="DE68BDF8">
      <w:start w:val="1"/>
      <w:numFmt w:val="bullet"/>
      <w:lvlText w:val="·"/>
      <w:lvlJc w:val="left"/>
      <w:pPr>
        <w:ind w:left="720" w:hanging="360"/>
      </w:pPr>
      <w:rPr>
        <w:rFonts w:ascii="Symbol" w:hAnsi="Symbol" w:hint="default"/>
      </w:rPr>
    </w:lvl>
    <w:lvl w:ilvl="1" w:tplc="6792DA20">
      <w:start w:val="1"/>
      <w:numFmt w:val="bullet"/>
      <w:lvlText w:val="o"/>
      <w:lvlJc w:val="left"/>
      <w:pPr>
        <w:ind w:left="1440" w:hanging="360"/>
      </w:pPr>
      <w:rPr>
        <w:rFonts w:ascii="Courier New" w:hAnsi="Courier New" w:hint="default"/>
      </w:rPr>
    </w:lvl>
    <w:lvl w:ilvl="2" w:tplc="AF3E775A">
      <w:start w:val="1"/>
      <w:numFmt w:val="bullet"/>
      <w:lvlText w:val=""/>
      <w:lvlJc w:val="left"/>
      <w:pPr>
        <w:ind w:left="2160" w:hanging="360"/>
      </w:pPr>
      <w:rPr>
        <w:rFonts w:ascii="Wingdings" w:hAnsi="Wingdings" w:hint="default"/>
      </w:rPr>
    </w:lvl>
    <w:lvl w:ilvl="3" w:tplc="44C6C238">
      <w:start w:val="1"/>
      <w:numFmt w:val="bullet"/>
      <w:lvlText w:val=""/>
      <w:lvlJc w:val="left"/>
      <w:pPr>
        <w:ind w:left="2880" w:hanging="360"/>
      </w:pPr>
      <w:rPr>
        <w:rFonts w:ascii="Symbol" w:hAnsi="Symbol" w:hint="default"/>
      </w:rPr>
    </w:lvl>
    <w:lvl w:ilvl="4" w:tplc="603C47F0">
      <w:start w:val="1"/>
      <w:numFmt w:val="bullet"/>
      <w:lvlText w:val="o"/>
      <w:lvlJc w:val="left"/>
      <w:pPr>
        <w:ind w:left="3600" w:hanging="360"/>
      </w:pPr>
      <w:rPr>
        <w:rFonts w:ascii="Courier New" w:hAnsi="Courier New" w:hint="default"/>
      </w:rPr>
    </w:lvl>
    <w:lvl w:ilvl="5" w:tplc="5352CA32">
      <w:start w:val="1"/>
      <w:numFmt w:val="bullet"/>
      <w:lvlText w:val=""/>
      <w:lvlJc w:val="left"/>
      <w:pPr>
        <w:ind w:left="4320" w:hanging="360"/>
      </w:pPr>
      <w:rPr>
        <w:rFonts w:ascii="Wingdings" w:hAnsi="Wingdings" w:hint="default"/>
      </w:rPr>
    </w:lvl>
    <w:lvl w:ilvl="6" w:tplc="5B041B6C">
      <w:start w:val="1"/>
      <w:numFmt w:val="bullet"/>
      <w:lvlText w:val=""/>
      <w:lvlJc w:val="left"/>
      <w:pPr>
        <w:ind w:left="5040" w:hanging="360"/>
      </w:pPr>
      <w:rPr>
        <w:rFonts w:ascii="Symbol" w:hAnsi="Symbol" w:hint="default"/>
      </w:rPr>
    </w:lvl>
    <w:lvl w:ilvl="7" w:tplc="631ED890">
      <w:start w:val="1"/>
      <w:numFmt w:val="bullet"/>
      <w:lvlText w:val="o"/>
      <w:lvlJc w:val="left"/>
      <w:pPr>
        <w:ind w:left="5760" w:hanging="360"/>
      </w:pPr>
      <w:rPr>
        <w:rFonts w:ascii="Courier New" w:hAnsi="Courier New" w:hint="default"/>
      </w:rPr>
    </w:lvl>
    <w:lvl w:ilvl="8" w:tplc="A06AA59C">
      <w:start w:val="1"/>
      <w:numFmt w:val="bullet"/>
      <w:lvlText w:val=""/>
      <w:lvlJc w:val="left"/>
      <w:pPr>
        <w:ind w:left="6480" w:hanging="360"/>
      </w:pPr>
      <w:rPr>
        <w:rFonts w:ascii="Wingdings" w:hAnsi="Wingdings" w:hint="default"/>
      </w:rPr>
    </w:lvl>
  </w:abstractNum>
  <w:abstractNum w:abstractNumId="24" w15:restartNumberingAfterBreak="0">
    <w:nsid w:val="30950501"/>
    <w:multiLevelType w:val="hybridMultilevel"/>
    <w:tmpl w:val="02CA8058"/>
    <w:lvl w:ilvl="0" w:tplc="18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5" w15:restartNumberingAfterBreak="0">
    <w:nsid w:val="358A37E1"/>
    <w:multiLevelType w:val="hybridMultilevel"/>
    <w:tmpl w:val="FC7223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6324F1E"/>
    <w:multiLevelType w:val="multilevel"/>
    <w:tmpl w:val="95C4F95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37CB1E1C"/>
    <w:multiLevelType w:val="multilevel"/>
    <w:tmpl w:val="4972EC5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38526BEA"/>
    <w:multiLevelType w:val="hybridMultilevel"/>
    <w:tmpl w:val="75825C92"/>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A5459E8"/>
    <w:multiLevelType w:val="singleLevel"/>
    <w:tmpl w:val="2188C922"/>
    <w:name w:val="Tiret 1"/>
    <w:lvl w:ilvl="0">
      <w:start w:val="1"/>
      <w:numFmt w:val="bullet"/>
      <w:lvlRestart w:val="0"/>
      <w:pStyle w:val="Tiret1"/>
      <w:lvlText w:val="–"/>
      <w:lvlJc w:val="left"/>
      <w:pPr>
        <w:tabs>
          <w:tab w:val="num" w:pos="1417"/>
        </w:tabs>
        <w:ind w:left="1417" w:hanging="567"/>
      </w:pPr>
    </w:lvl>
  </w:abstractNum>
  <w:abstractNum w:abstractNumId="30" w15:restartNumberingAfterBreak="0">
    <w:nsid w:val="3A7730C4"/>
    <w:multiLevelType w:val="multilevel"/>
    <w:tmpl w:val="E1AE5C2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3BA736C9"/>
    <w:multiLevelType w:val="singleLevel"/>
    <w:tmpl w:val="F00A6C0C"/>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3C02C37D"/>
    <w:multiLevelType w:val="hybridMultilevel"/>
    <w:tmpl w:val="FFFFFFFF"/>
    <w:lvl w:ilvl="0" w:tplc="8D6CCF34">
      <w:start w:val="1"/>
      <w:numFmt w:val="bullet"/>
      <w:lvlText w:val="§"/>
      <w:lvlJc w:val="left"/>
      <w:pPr>
        <w:ind w:left="720" w:hanging="360"/>
      </w:pPr>
      <w:rPr>
        <w:rFonts w:ascii="Wingdings" w:hAnsi="Wingdings" w:hint="default"/>
      </w:rPr>
    </w:lvl>
    <w:lvl w:ilvl="1" w:tplc="8938B6E0">
      <w:start w:val="1"/>
      <w:numFmt w:val="bullet"/>
      <w:lvlText w:val="o"/>
      <w:lvlJc w:val="left"/>
      <w:pPr>
        <w:ind w:left="1440" w:hanging="360"/>
      </w:pPr>
      <w:rPr>
        <w:rFonts w:ascii="Courier New" w:hAnsi="Courier New" w:hint="default"/>
      </w:rPr>
    </w:lvl>
    <w:lvl w:ilvl="2" w:tplc="2006D3D8">
      <w:start w:val="1"/>
      <w:numFmt w:val="bullet"/>
      <w:lvlText w:val=""/>
      <w:lvlJc w:val="left"/>
      <w:pPr>
        <w:ind w:left="2160" w:hanging="360"/>
      </w:pPr>
      <w:rPr>
        <w:rFonts w:ascii="Wingdings" w:hAnsi="Wingdings" w:hint="default"/>
      </w:rPr>
    </w:lvl>
    <w:lvl w:ilvl="3" w:tplc="99748EFA">
      <w:start w:val="1"/>
      <w:numFmt w:val="bullet"/>
      <w:lvlText w:val=""/>
      <w:lvlJc w:val="left"/>
      <w:pPr>
        <w:ind w:left="2880" w:hanging="360"/>
      </w:pPr>
      <w:rPr>
        <w:rFonts w:ascii="Symbol" w:hAnsi="Symbol" w:hint="default"/>
      </w:rPr>
    </w:lvl>
    <w:lvl w:ilvl="4" w:tplc="732484D4">
      <w:start w:val="1"/>
      <w:numFmt w:val="bullet"/>
      <w:lvlText w:val="o"/>
      <w:lvlJc w:val="left"/>
      <w:pPr>
        <w:ind w:left="3600" w:hanging="360"/>
      </w:pPr>
      <w:rPr>
        <w:rFonts w:ascii="Courier New" w:hAnsi="Courier New" w:hint="default"/>
      </w:rPr>
    </w:lvl>
    <w:lvl w:ilvl="5" w:tplc="4E44E79E">
      <w:start w:val="1"/>
      <w:numFmt w:val="bullet"/>
      <w:lvlText w:val=""/>
      <w:lvlJc w:val="left"/>
      <w:pPr>
        <w:ind w:left="4320" w:hanging="360"/>
      </w:pPr>
      <w:rPr>
        <w:rFonts w:ascii="Wingdings" w:hAnsi="Wingdings" w:hint="default"/>
      </w:rPr>
    </w:lvl>
    <w:lvl w:ilvl="6" w:tplc="54F6D1AC">
      <w:start w:val="1"/>
      <w:numFmt w:val="bullet"/>
      <w:lvlText w:val=""/>
      <w:lvlJc w:val="left"/>
      <w:pPr>
        <w:ind w:left="5040" w:hanging="360"/>
      </w:pPr>
      <w:rPr>
        <w:rFonts w:ascii="Symbol" w:hAnsi="Symbol" w:hint="default"/>
      </w:rPr>
    </w:lvl>
    <w:lvl w:ilvl="7" w:tplc="3258BB1A">
      <w:start w:val="1"/>
      <w:numFmt w:val="bullet"/>
      <w:lvlText w:val="o"/>
      <w:lvlJc w:val="left"/>
      <w:pPr>
        <w:ind w:left="5760" w:hanging="360"/>
      </w:pPr>
      <w:rPr>
        <w:rFonts w:ascii="Courier New" w:hAnsi="Courier New" w:hint="default"/>
      </w:rPr>
    </w:lvl>
    <w:lvl w:ilvl="8" w:tplc="703AC0D8">
      <w:start w:val="1"/>
      <w:numFmt w:val="bullet"/>
      <w:lvlText w:val=""/>
      <w:lvlJc w:val="left"/>
      <w:pPr>
        <w:ind w:left="6480" w:hanging="360"/>
      </w:pPr>
      <w:rPr>
        <w:rFonts w:ascii="Wingdings" w:hAnsi="Wingdings" w:hint="default"/>
      </w:rPr>
    </w:lvl>
  </w:abstractNum>
  <w:abstractNum w:abstractNumId="33" w15:restartNumberingAfterBreak="0">
    <w:nsid w:val="3C90278F"/>
    <w:multiLevelType w:val="singleLevel"/>
    <w:tmpl w:val="0FE08974"/>
    <w:name w:val="Tiret 3"/>
    <w:lvl w:ilvl="0">
      <w:start w:val="1"/>
      <w:numFmt w:val="bullet"/>
      <w:lvlRestart w:val="0"/>
      <w:pStyle w:val="Tiret3"/>
      <w:lvlText w:val="–"/>
      <w:lvlJc w:val="left"/>
      <w:pPr>
        <w:tabs>
          <w:tab w:val="num" w:pos="2551"/>
        </w:tabs>
        <w:ind w:left="2551" w:hanging="567"/>
      </w:pPr>
    </w:lvl>
  </w:abstractNum>
  <w:abstractNum w:abstractNumId="34" w15:restartNumberingAfterBreak="0">
    <w:nsid w:val="3EE464FD"/>
    <w:multiLevelType w:val="hybridMultilevel"/>
    <w:tmpl w:val="082AA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01F1A49"/>
    <w:multiLevelType w:val="multilevel"/>
    <w:tmpl w:val="2E9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1BC11F1"/>
    <w:multiLevelType w:val="hybridMultilevel"/>
    <w:tmpl w:val="F47A9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29E662A"/>
    <w:multiLevelType w:val="multilevel"/>
    <w:tmpl w:val="83D2923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8" w15:restartNumberingAfterBreak="0">
    <w:nsid w:val="48842C30"/>
    <w:multiLevelType w:val="singleLevel"/>
    <w:tmpl w:val="4FA60B9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9" w15:restartNumberingAfterBreak="0">
    <w:nsid w:val="4D9D5169"/>
    <w:multiLevelType w:val="hybridMultilevel"/>
    <w:tmpl w:val="DF160B5C"/>
    <w:lvl w:ilvl="0" w:tplc="43FEBFA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E1A63DF"/>
    <w:multiLevelType w:val="multilevel"/>
    <w:tmpl w:val="3A08B00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4E1A982C"/>
    <w:multiLevelType w:val="multilevel"/>
    <w:tmpl w:val="64A8E49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2" w15:restartNumberingAfterBreak="0">
    <w:nsid w:val="5072619B"/>
    <w:multiLevelType w:val="multilevel"/>
    <w:tmpl w:val="BD52A63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3" w15:restartNumberingAfterBreak="0">
    <w:nsid w:val="50729B52"/>
    <w:multiLevelType w:val="multilevel"/>
    <w:tmpl w:val="06C8663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4" w15:restartNumberingAfterBreak="0">
    <w:nsid w:val="54593082"/>
    <w:multiLevelType w:val="singleLevel"/>
    <w:tmpl w:val="EDE069AC"/>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5" w15:restartNumberingAfterBreak="0">
    <w:nsid w:val="568864DC"/>
    <w:multiLevelType w:val="singleLevel"/>
    <w:tmpl w:val="485EBDAC"/>
    <w:name w:val="Tiret 4"/>
    <w:lvl w:ilvl="0">
      <w:start w:val="1"/>
      <w:numFmt w:val="bullet"/>
      <w:lvlRestart w:val="0"/>
      <w:pStyle w:val="Tiret4"/>
      <w:lvlText w:val="–"/>
      <w:lvlJc w:val="left"/>
      <w:pPr>
        <w:tabs>
          <w:tab w:val="num" w:pos="3118"/>
        </w:tabs>
        <w:ind w:left="3118" w:hanging="567"/>
      </w:pPr>
    </w:lvl>
  </w:abstractNum>
  <w:abstractNum w:abstractNumId="46" w15:restartNumberingAfterBreak="0">
    <w:nsid w:val="5CE0DCD5"/>
    <w:multiLevelType w:val="hybridMultilevel"/>
    <w:tmpl w:val="B838E1C0"/>
    <w:lvl w:ilvl="0" w:tplc="FCE695DA">
      <w:start w:val="1"/>
      <w:numFmt w:val="bullet"/>
      <w:lvlText w:val="·"/>
      <w:lvlJc w:val="left"/>
      <w:pPr>
        <w:ind w:left="-130" w:hanging="360"/>
      </w:pPr>
      <w:rPr>
        <w:rFonts w:ascii="Symbol" w:hAnsi="Symbol" w:hint="default"/>
      </w:rPr>
    </w:lvl>
    <w:lvl w:ilvl="1" w:tplc="31DA0096">
      <w:start w:val="1"/>
      <w:numFmt w:val="bullet"/>
      <w:lvlText w:val="o"/>
      <w:lvlJc w:val="left"/>
      <w:pPr>
        <w:ind w:left="590" w:hanging="360"/>
      </w:pPr>
      <w:rPr>
        <w:rFonts w:ascii="Courier New" w:hAnsi="Courier New" w:hint="default"/>
      </w:rPr>
    </w:lvl>
    <w:lvl w:ilvl="2" w:tplc="BA6C72B2">
      <w:start w:val="1"/>
      <w:numFmt w:val="bullet"/>
      <w:lvlText w:val=""/>
      <w:lvlJc w:val="left"/>
      <w:pPr>
        <w:ind w:left="1310" w:hanging="360"/>
      </w:pPr>
      <w:rPr>
        <w:rFonts w:ascii="Wingdings" w:hAnsi="Wingdings" w:hint="default"/>
      </w:rPr>
    </w:lvl>
    <w:lvl w:ilvl="3" w:tplc="890AB220">
      <w:start w:val="1"/>
      <w:numFmt w:val="bullet"/>
      <w:lvlText w:val=""/>
      <w:lvlJc w:val="left"/>
      <w:pPr>
        <w:ind w:left="2030" w:hanging="360"/>
      </w:pPr>
      <w:rPr>
        <w:rFonts w:ascii="Symbol" w:hAnsi="Symbol" w:hint="default"/>
      </w:rPr>
    </w:lvl>
    <w:lvl w:ilvl="4" w:tplc="10724E8E">
      <w:start w:val="1"/>
      <w:numFmt w:val="bullet"/>
      <w:lvlText w:val="o"/>
      <w:lvlJc w:val="left"/>
      <w:pPr>
        <w:ind w:left="2750" w:hanging="360"/>
      </w:pPr>
      <w:rPr>
        <w:rFonts w:ascii="Courier New" w:hAnsi="Courier New" w:hint="default"/>
      </w:rPr>
    </w:lvl>
    <w:lvl w:ilvl="5" w:tplc="0816ADBA">
      <w:start w:val="1"/>
      <w:numFmt w:val="bullet"/>
      <w:lvlText w:val=""/>
      <w:lvlJc w:val="left"/>
      <w:pPr>
        <w:ind w:left="3470" w:hanging="360"/>
      </w:pPr>
      <w:rPr>
        <w:rFonts w:ascii="Wingdings" w:hAnsi="Wingdings" w:hint="default"/>
      </w:rPr>
    </w:lvl>
    <w:lvl w:ilvl="6" w:tplc="55889D84">
      <w:start w:val="1"/>
      <w:numFmt w:val="bullet"/>
      <w:lvlText w:val=""/>
      <w:lvlJc w:val="left"/>
      <w:pPr>
        <w:ind w:left="4190" w:hanging="360"/>
      </w:pPr>
      <w:rPr>
        <w:rFonts w:ascii="Symbol" w:hAnsi="Symbol" w:hint="default"/>
      </w:rPr>
    </w:lvl>
    <w:lvl w:ilvl="7" w:tplc="7FF4219E">
      <w:start w:val="1"/>
      <w:numFmt w:val="bullet"/>
      <w:lvlText w:val="o"/>
      <w:lvlJc w:val="left"/>
      <w:pPr>
        <w:ind w:left="4910" w:hanging="360"/>
      </w:pPr>
      <w:rPr>
        <w:rFonts w:ascii="Courier New" w:hAnsi="Courier New" w:hint="default"/>
      </w:rPr>
    </w:lvl>
    <w:lvl w:ilvl="8" w:tplc="0CDE1D6C">
      <w:start w:val="1"/>
      <w:numFmt w:val="bullet"/>
      <w:lvlText w:val=""/>
      <w:lvlJc w:val="left"/>
      <w:pPr>
        <w:ind w:left="5630" w:hanging="360"/>
      </w:pPr>
      <w:rPr>
        <w:rFonts w:ascii="Wingdings" w:hAnsi="Wingdings" w:hint="default"/>
      </w:rPr>
    </w:lvl>
  </w:abstractNum>
  <w:abstractNum w:abstractNumId="47" w15:restartNumberingAfterBreak="0">
    <w:nsid w:val="5F342530"/>
    <w:multiLevelType w:val="singleLevel"/>
    <w:tmpl w:val="D5444702"/>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8" w15:restartNumberingAfterBreak="0">
    <w:nsid w:val="5F9C40AA"/>
    <w:multiLevelType w:val="singleLevel"/>
    <w:tmpl w:val="B89CB5A2"/>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9" w15:restartNumberingAfterBreak="0">
    <w:nsid w:val="5FF46F51"/>
    <w:multiLevelType w:val="hybridMultilevel"/>
    <w:tmpl w:val="8F842EBE"/>
    <w:lvl w:ilvl="0" w:tplc="D7E29A94">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62970F71"/>
    <w:multiLevelType w:val="singleLevel"/>
    <w:tmpl w:val="5AFA8C72"/>
    <w:name w:val="Tiret 2"/>
    <w:lvl w:ilvl="0">
      <w:start w:val="1"/>
      <w:numFmt w:val="bullet"/>
      <w:lvlRestart w:val="0"/>
      <w:pStyle w:val="Tiret2"/>
      <w:lvlText w:val="–"/>
      <w:lvlJc w:val="left"/>
      <w:pPr>
        <w:tabs>
          <w:tab w:val="num" w:pos="1984"/>
        </w:tabs>
        <w:ind w:left="1984" w:hanging="567"/>
      </w:pPr>
    </w:lvl>
  </w:abstractNum>
  <w:abstractNum w:abstractNumId="51" w15:restartNumberingAfterBreak="0">
    <w:nsid w:val="6604A5BF"/>
    <w:multiLevelType w:val="hybridMultilevel"/>
    <w:tmpl w:val="2D58FA0C"/>
    <w:lvl w:ilvl="0" w:tplc="2C0889C6">
      <w:start w:val="1"/>
      <w:numFmt w:val="bullet"/>
      <w:lvlText w:val=""/>
      <w:lvlJc w:val="left"/>
      <w:pPr>
        <w:ind w:left="720" w:hanging="360"/>
      </w:pPr>
      <w:rPr>
        <w:rFonts w:ascii="Symbol" w:hAnsi="Symbol" w:hint="default"/>
      </w:rPr>
    </w:lvl>
    <w:lvl w:ilvl="1" w:tplc="D5687C54">
      <w:start w:val="1"/>
      <w:numFmt w:val="bullet"/>
      <w:lvlText w:val="o"/>
      <w:lvlJc w:val="left"/>
      <w:pPr>
        <w:ind w:left="1440" w:hanging="360"/>
      </w:pPr>
      <w:rPr>
        <w:rFonts w:ascii="Courier New" w:hAnsi="Courier New" w:hint="default"/>
      </w:rPr>
    </w:lvl>
    <w:lvl w:ilvl="2" w:tplc="20EA3ABC">
      <w:start w:val="1"/>
      <w:numFmt w:val="bullet"/>
      <w:lvlText w:val=""/>
      <w:lvlJc w:val="left"/>
      <w:pPr>
        <w:ind w:left="2160" w:hanging="360"/>
      </w:pPr>
      <w:rPr>
        <w:rFonts w:ascii="Wingdings" w:hAnsi="Wingdings" w:hint="default"/>
      </w:rPr>
    </w:lvl>
    <w:lvl w:ilvl="3" w:tplc="ADA0446C">
      <w:start w:val="1"/>
      <w:numFmt w:val="bullet"/>
      <w:lvlText w:val=""/>
      <w:lvlJc w:val="left"/>
      <w:pPr>
        <w:ind w:left="2880" w:hanging="360"/>
      </w:pPr>
      <w:rPr>
        <w:rFonts w:ascii="Symbol" w:hAnsi="Symbol" w:hint="default"/>
      </w:rPr>
    </w:lvl>
    <w:lvl w:ilvl="4" w:tplc="3EF6F1AE">
      <w:start w:val="1"/>
      <w:numFmt w:val="bullet"/>
      <w:lvlText w:val="o"/>
      <w:lvlJc w:val="left"/>
      <w:pPr>
        <w:ind w:left="3600" w:hanging="360"/>
      </w:pPr>
      <w:rPr>
        <w:rFonts w:ascii="Courier New" w:hAnsi="Courier New" w:hint="default"/>
      </w:rPr>
    </w:lvl>
    <w:lvl w:ilvl="5" w:tplc="2B78F5D4">
      <w:start w:val="1"/>
      <w:numFmt w:val="bullet"/>
      <w:lvlText w:val=""/>
      <w:lvlJc w:val="left"/>
      <w:pPr>
        <w:ind w:left="4320" w:hanging="360"/>
      </w:pPr>
      <w:rPr>
        <w:rFonts w:ascii="Wingdings" w:hAnsi="Wingdings" w:hint="default"/>
      </w:rPr>
    </w:lvl>
    <w:lvl w:ilvl="6" w:tplc="4CFCC696">
      <w:start w:val="1"/>
      <w:numFmt w:val="bullet"/>
      <w:lvlText w:val=""/>
      <w:lvlJc w:val="left"/>
      <w:pPr>
        <w:ind w:left="5040" w:hanging="360"/>
      </w:pPr>
      <w:rPr>
        <w:rFonts w:ascii="Symbol" w:hAnsi="Symbol" w:hint="default"/>
      </w:rPr>
    </w:lvl>
    <w:lvl w:ilvl="7" w:tplc="E0909D08">
      <w:start w:val="1"/>
      <w:numFmt w:val="bullet"/>
      <w:lvlText w:val="o"/>
      <w:lvlJc w:val="left"/>
      <w:pPr>
        <w:ind w:left="5760" w:hanging="360"/>
      </w:pPr>
      <w:rPr>
        <w:rFonts w:ascii="Courier New" w:hAnsi="Courier New" w:hint="default"/>
      </w:rPr>
    </w:lvl>
    <w:lvl w:ilvl="8" w:tplc="D9F4E46C">
      <w:start w:val="1"/>
      <w:numFmt w:val="bullet"/>
      <w:lvlText w:val=""/>
      <w:lvlJc w:val="left"/>
      <w:pPr>
        <w:ind w:left="6480" w:hanging="360"/>
      </w:pPr>
      <w:rPr>
        <w:rFonts w:ascii="Wingdings" w:hAnsi="Wingdings" w:hint="default"/>
      </w:rPr>
    </w:lvl>
  </w:abstractNum>
  <w:abstractNum w:abstractNumId="52" w15:restartNumberingAfterBreak="0">
    <w:nsid w:val="693F719A"/>
    <w:multiLevelType w:val="multilevel"/>
    <w:tmpl w:val="DAA8D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977472E"/>
    <w:multiLevelType w:val="multilevel"/>
    <w:tmpl w:val="B03699F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4" w15:restartNumberingAfterBreak="0">
    <w:nsid w:val="69995580"/>
    <w:multiLevelType w:val="singleLevel"/>
    <w:tmpl w:val="75CC7CBA"/>
    <w:name w:val="Considérant"/>
    <w:lvl w:ilvl="0">
      <w:start w:val="1"/>
      <w:numFmt w:val="decimal"/>
      <w:lvlRestart w:val="0"/>
      <w:pStyle w:val="Considrant"/>
      <w:lvlText w:val="(%1)"/>
      <w:lvlJc w:val="left"/>
      <w:pPr>
        <w:tabs>
          <w:tab w:val="num" w:pos="709"/>
        </w:tabs>
        <w:ind w:left="709" w:hanging="709"/>
      </w:pPr>
    </w:lvl>
  </w:abstractNum>
  <w:abstractNum w:abstractNumId="55" w15:restartNumberingAfterBreak="0">
    <w:nsid w:val="6E21654A"/>
    <w:multiLevelType w:val="hybridMultilevel"/>
    <w:tmpl w:val="17F0DBD8"/>
    <w:lvl w:ilvl="0" w:tplc="A2BC9158">
      <w:start w:val="1"/>
      <w:numFmt w:val="bullet"/>
      <w:lvlText w:val="Ø"/>
      <w:lvlJc w:val="left"/>
      <w:pPr>
        <w:ind w:left="720" w:hanging="360"/>
      </w:pPr>
      <w:rPr>
        <w:rFonts w:ascii="Wingdings" w:hAnsi="Wingdings" w:hint="default"/>
      </w:rPr>
    </w:lvl>
    <w:lvl w:ilvl="1" w:tplc="46F6DD66">
      <w:start w:val="1"/>
      <w:numFmt w:val="bullet"/>
      <w:lvlText w:val="o"/>
      <w:lvlJc w:val="left"/>
      <w:pPr>
        <w:ind w:left="1440" w:hanging="360"/>
      </w:pPr>
      <w:rPr>
        <w:rFonts w:ascii="Courier New" w:hAnsi="Courier New" w:hint="default"/>
      </w:rPr>
    </w:lvl>
    <w:lvl w:ilvl="2" w:tplc="43961E8E">
      <w:start w:val="1"/>
      <w:numFmt w:val="bullet"/>
      <w:lvlText w:val=""/>
      <w:lvlJc w:val="left"/>
      <w:pPr>
        <w:ind w:left="2160" w:hanging="360"/>
      </w:pPr>
      <w:rPr>
        <w:rFonts w:ascii="Wingdings" w:hAnsi="Wingdings" w:hint="default"/>
      </w:rPr>
    </w:lvl>
    <w:lvl w:ilvl="3" w:tplc="AE324920">
      <w:start w:val="1"/>
      <w:numFmt w:val="bullet"/>
      <w:lvlText w:val=""/>
      <w:lvlJc w:val="left"/>
      <w:pPr>
        <w:ind w:left="2880" w:hanging="360"/>
      </w:pPr>
      <w:rPr>
        <w:rFonts w:ascii="Symbol" w:hAnsi="Symbol" w:hint="default"/>
      </w:rPr>
    </w:lvl>
    <w:lvl w:ilvl="4" w:tplc="9CB66822">
      <w:start w:val="1"/>
      <w:numFmt w:val="bullet"/>
      <w:lvlText w:val="o"/>
      <w:lvlJc w:val="left"/>
      <w:pPr>
        <w:ind w:left="3600" w:hanging="360"/>
      </w:pPr>
      <w:rPr>
        <w:rFonts w:ascii="Courier New" w:hAnsi="Courier New" w:hint="default"/>
      </w:rPr>
    </w:lvl>
    <w:lvl w:ilvl="5" w:tplc="446C4FE2">
      <w:start w:val="1"/>
      <w:numFmt w:val="bullet"/>
      <w:lvlText w:val=""/>
      <w:lvlJc w:val="left"/>
      <w:pPr>
        <w:ind w:left="4320" w:hanging="360"/>
      </w:pPr>
      <w:rPr>
        <w:rFonts w:ascii="Wingdings" w:hAnsi="Wingdings" w:hint="default"/>
      </w:rPr>
    </w:lvl>
    <w:lvl w:ilvl="6" w:tplc="01127868">
      <w:start w:val="1"/>
      <w:numFmt w:val="bullet"/>
      <w:lvlText w:val=""/>
      <w:lvlJc w:val="left"/>
      <w:pPr>
        <w:ind w:left="5040" w:hanging="360"/>
      </w:pPr>
      <w:rPr>
        <w:rFonts w:ascii="Symbol" w:hAnsi="Symbol" w:hint="default"/>
      </w:rPr>
    </w:lvl>
    <w:lvl w:ilvl="7" w:tplc="A8CE9372">
      <w:start w:val="1"/>
      <w:numFmt w:val="bullet"/>
      <w:lvlText w:val="o"/>
      <w:lvlJc w:val="left"/>
      <w:pPr>
        <w:ind w:left="5760" w:hanging="360"/>
      </w:pPr>
      <w:rPr>
        <w:rFonts w:ascii="Courier New" w:hAnsi="Courier New" w:hint="default"/>
      </w:rPr>
    </w:lvl>
    <w:lvl w:ilvl="8" w:tplc="F67C7C72">
      <w:start w:val="1"/>
      <w:numFmt w:val="bullet"/>
      <w:lvlText w:val=""/>
      <w:lvlJc w:val="left"/>
      <w:pPr>
        <w:ind w:left="6480" w:hanging="360"/>
      </w:pPr>
      <w:rPr>
        <w:rFonts w:ascii="Wingdings" w:hAnsi="Wingdings" w:hint="default"/>
      </w:rPr>
    </w:lvl>
  </w:abstractNum>
  <w:abstractNum w:abstractNumId="56"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71BE5FE0"/>
    <w:multiLevelType w:val="hybridMultilevel"/>
    <w:tmpl w:val="C4FEDE66"/>
    <w:lvl w:ilvl="0" w:tplc="7B886D00">
      <w:start w:val="1"/>
      <w:numFmt w:val="decimal"/>
      <w:lvlText w:val="%1."/>
      <w:lvlJc w:val="left"/>
      <w:pPr>
        <w:ind w:left="720" w:hanging="360"/>
      </w:pPr>
    </w:lvl>
    <w:lvl w:ilvl="1" w:tplc="F6D01ED6">
      <w:start w:val="1"/>
      <w:numFmt w:val="lowerLetter"/>
      <w:lvlText w:val="%2."/>
      <w:lvlJc w:val="left"/>
      <w:pPr>
        <w:ind w:left="1440" w:hanging="360"/>
      </w:pPr>
    </w:lvl>
    <w:lvl w:ilvl="2" w:tplc="49AA8E06">
      <w:start w:val="1"/>
      <w:numFmt w:val="lowerRoman"/>
      <w:lvlText w:val="%3."/>
      <w:lvlJc w:val="right"/>
      <w:pPr>
        <w:ind w:left="2160" w:hanging="180"/>
      </w:pPr>
    </w:lvl>
    <w:lvl w:ilvl="3" w:tplc="05BAFFB0">
      <w:start w:val="1"/>
      <w:numFmt w:val="decimal"/>
      <w:lvlText w:val="%4."/>
      <w:lvlJc w:val="left"/>
      <w:pPr>
        <w:ind w:left="2880" w:hanging="360"/>
      </w:pPr>
    </w:lvl>
    <w:lvl w:ilvl="4" w:tplc="94A4DD78">
      <w:start w:val="1"/>
      <w:numFmt w:val="lowerLetter"/>
      <w:lvlText w:val="%5."/>
      <w:lvlJc w:val="left"/>
      <w:pPr>
        <w:ind w:left="3600" w:hanging="360"/>
      </w:pPr>
    </w:lvl>
    <w:lvl w:ilvl="5" w:tplc="099859F4">
      <w:start w:val="1"/>
      <w:numFmt w:val="lowerRoman"/>
      <w:lvlText w:val="%6."/>
      <w:lvlJc w:val="right"/>
      <w:pPr>
        <w:ind w:left="4320" w:hanging="180"/>
      </w:pPr>
    </w:lvl>
    <w:lvl w:ilvl="6" w:tplc="6A7C8348">
      <w:start w:val="1"/>
      <w:numFmt w:val="decimal"/>
      <w:lvlText w:val="%7."/>
      <w:lvlJc w:val="left"/>
      <w:pPr>
        <w:ind w:left="5040" w:hanging="360"/>
      </w:pPr>
    </w:lvl>
    <w:lvl w:ilvl="7" w:tplc="CDF85C6A">
      <w:start w:val="1"/>
      <w:numFmt w:val="lowerLetter"/>
      <w:lvlText w:val="%8."/>
      <w:lvlJc w:val="left"/>
      <w:pPr>
        <w:ind w:left="5760" w:hanging="360"/>
      </w:pPr>
    </w:lvl>
    <w:lvl w:ilvl="8" w:tplc="C8F05C2E">
      <w:start w:val="1"/>
      <w:numFmt w:val="lowerRoman"/>
      <w:lvlText w:val="%9."/>
      <w:lvlJc w:val="right"/>
      <w:pPr>
        <w:ind w:left="6480" w:hanging="180"/>
      </w:pPr>
    </w:lvl>
  </w:abstractNum>
  <w:abstractNum w:abstractNumId="58" w15:restartNumberingAfterBreak="0">
    <w:nsid w:val="74A4128C"/>
    <w:multiLevelType w:val="hybridMultilevel"/>
    <w:tmpl w:val="6A326B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74D92B67"/>
    <w:multiLevelType w:val="hybridMultilevel"/>
    <w:tmpl w:val="4E5A41A2"/>
    <w:lvl w:ilvl="0" w:tplc="454AB5FA">
      <w:start w:val="1"/>
      <w:numFmt w:val="bullet"/>
      <w:lvlText w:val=""/>
      <w:lvlJc w:val="left"/>
      <w:pPr>
        <w:ind w:left="720" w:hanging="360"/>
      </w:pPr>
      <w:rPr>
        <w:rFonts w:ascii="Symbol" w:hAnsi="Symbol" w:hint="default"/>
      </w:rPr>
    </w:lvl>
    <w:lvl w:ilvl="1" w:tplc="AA52A150">
      <w:start w:val="1"/>
      <w:numFmt w:val="bullet"/>
      <w:lvlText w:val="o"/>
      <w:lvlJc w:val="left"/>
      <w:pPr>
        <w:ind w:left="1440" w:hanging="360"/>
      </w:pPr>
      <w:rPr>
        <w:rFonts w:ascii="Courier New" w:hAnsi="Courier New" w:hint="default"/>
      </w:rPr>
    </w:lvl>
    <w:lvl w:ilvl="2" w:tplc="ED42AA7E">
      <w:start w:val="1"/>
      <w:numFmt w:val="bullet"/>
      <w:lvlText w:val=""/>
      <w:lvlJc w:val="left"/>
      <w:pPr>
        <w:ind w:left="2160" w:hanging="360"/>
      </w:pPr>
      <w:rPr>
        <w:rFonts w:ascii="Wingdings" w:hAnsi="Wingdings" w:hint="default"/>
      </w:rPr>
    </w:lvl>
    <w:lvl w:ilvl="3" w:tplc="44C0E904">
      <w:start w:val="1"/>
      <w:numFmt w:val="bullet"/>
      <w:lvlText w:val=""/>
      <w:lvlJc w:val="left"/>
      <w:pPr>
        <w:ind w:left="2880" w:hanging="360"/>
      </w:pPr>
      <w:rPr>
        <w:rFonts w:ascii="Symbol" w:hAnsi="Symbol" w:hint="default"/>
      </w:rPr>
    </w:lvl>
    <w:lvl w:ilvl="4" w:tplc="D172AEB0">
      <w:start w:val="1"/>
      <w:numFmt w:val="bullet"/>
      <w:lvlText w:val="o"/>
      <w:lvlJc w:val="left"/>
      <w:pPr>
        <w:ind w:left="3600" w:hanging="360"/>
      </w:pPr>
      <w:rPr>
        <w:rFonts w:ascii="Courier New" w:hAnsi="Courier New" w:hint="default"/>
      </w:rPr>
    </w:lvl>
    <w:lvl w:ilvl="5" w:tplc="21FE91F0">
      <w:start w:val="1"/>
      <w:numFmt w:val="bullet"/>
      <w:lvlText w:val=""/>
      <w:lvlJc w:val="left"/>
      <w:pPr>
        <w:ind w:left="4320" w:hanging="360"/>
      </w:pPr>
      <w:rPr>
        <w:rFonts w:ascii="Wingdings" w:hAnsi="Wingdings" w:hint="default"/>
      </w:rPr>
    </w:lvl>
    <w:lvl w:ilvl="6" w:tplc="19321CCC">
      <w:start w:val="1"/>
      <w:numFmt w:val="bullet"/>
      <w:lvlText w:val=""/>
      <w:lvlJc w:val="left"/>
      <w:pPr>
        <w:ind w:left="5040" w:hanging="360"/>
      </w:pPr>
      <w:rPr>
        <w:rFonts w:ascii="Symbol" w:hAnsi="Symbol" w:hint="default"/>
      </w:rPr>
    </w:lvl>
    <w:lvl w:ilvl="7" w:tplc="FF4A518A">
      <w:start w:val="1"/>
      <w:numFmt w:val="bullet"/>
      <w:lvlText w:val="o"/>
      <w:lvlJc w:val="left"/>
      <w:pPr>
        <w:ind w:left="5760" w:hanging="360"/>
      </w:pPr>
      <w:rPr>
        <w:rFonts w:ascii="Courier New" w:hAnsi="Courier New" w:hint="default"/>
      </w:rPr>
    </w:lvl>
    <w:lvl w:ilvl="8" w:tplc="910E2FE4">
      <w:start w:val="1"/>
      <w:numFmt w:val="bullet"/>
      <w:lvlText w:val=""/>
      <w:lvlJc w:val="left"/>
      <w:pPr>
        <w:ind w:left="6480" w:hanging="360"/>
      </w:pPr>
      <w:rPr>
        <w:rFonts w:ascii="Wingdings" w:hAnsi="Wingdings" w:hint="default"/>
      </w:rPr>
    </w:lvl>
  </w:abstractNum>
  <w:abstractNum w:abstractNumId="60" w15:restartNumberingAfterBreak="0">
    <w:nsid w:val="75C26F71"/>
    <w:multiLevelType w:val="multilevel"/>
    <w:tmpl w:val="E01E770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1" w15:restartNumberingAfterBreak="0">
    <w:nsid w:val="7B984E0C"/>
    <w:multiLevelType w:val="hybridMultilevel"/>
    <w:tmpl w:val="2782E8F4"/>
    <w:lvl w:ilvl="0" w:tplc="18090001">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3" w15:restartNumberingAfterBreak="0">
    <w:nsid w:val="7C65145E"/>
    <w:multiLevelType w:val="multilevel"/>
    <w:tmpl w:val="F60CB520"/>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202"/>
        </w:tabs>
        <w:ind w:left="1202" w:hanging="720"/>
      </w:pPr>
    </w:lvl>
    <w:lvl w:ilvl="2">
      <w:start w:val="1"/>
      <w:numFmt w:val="decimal"/>
      <w:lvlText w:val="%1.%2.%3."/>
      <w:lvlJc w:val="left"/>
      <w:pPr>
        <w:tabs>
          <w:tab w:val="num" w:pos="1922"/>
        </w:tabs>
        <w:ind w:left="1922" w:hanging="720"/>
      </w:pPr>
    </w:lvl>
    <w:lvl w:ilvl="3">
      <w:start w:val="1"/>
      <w:numFmt w:val="decimal"/>
      <w:lvlText w:val="%1.%2.%3.%4."/>
      <w:lvlJc w:val="left"/>
      <w:pPr>
        <w:tabs>
          <w:tab w:val="num" w:pos="1922"/>
        </w:tabs>
        <w:ind w:left="1922" w:hanging="720"/>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6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65" w15:restartNumberingAfterBreak="0">
    <w:nsid w:val="7CCDDBC5"/>
    <w:multiLevelType w:val="hybridMultilevel"/>
    <w:tmpl w:val="381271BA"/>
    <w:lvl w:ilvl="0" w:tplc="7FB83610">
      <w:start w:val="1"/>
      <w:numFmt w:val="bullet"/>
      <w:lvlText w:val=""/>
      <w:lvlJc w:val="left"/>
      <w:pPr>
        <w:ind w:left="360" w:hanging="360"/>
      </w:pPr>
      <w:rPr>
        <w:rFonts w:ascii="Symbol" w:hAnsi="Symbol" w:hint="default"/>
      </w:rPr>
    </w:lvl>
    <w:lvl w:ilvl="1" w:tplc="5418A99A">
      <w:start w:val="1"/>
      <w:numFmt w:val="bullet"/>
      <w:lvlText w:val="o"/>
      <w:lvlJc w:val="left"/>
      <w:pPr>
        <w:ind w:left="1440" w:hanging="360"/>
      </w:pPr>
      <w:rPr>
        <w:rFonts w:ascii="Courier New" w:hAnsi="Courier New" w:hint="default"/>
      </w:rPr>
    </w:lvl>
    <w:lvl w:ilvl="2" w:tplc="29D0896A">
      <w:start w:val="1"/>
      <w:numFmt w:val="bullet"/>
      <w:lvlText w:val=""/>
      <w:lvlJc w:val="left"/>
      <w:pPr>
        <w:ind w:left="2160" w:hanging="360"/>
      </w:pPr>
      <w:rPr>
        <w:rFonts w:ascii="Wingdings" w:hAnsi="Wingdings" w:hint="default"/>
      </w:rPr>
    </w:lvl>
    <w:lvl w:ilvl="3" w:tplc="42F051D2">
      <w:start w:val="1"/>
      <w:numFmt w:val="bullet"/>
      <w:lvlText w:val=""/>
      <w:lvlJc w:val="left"/>
      <w:pPr>
        <w:ind w:left="2880" w:hanging="360"/>
      </w:pPr>
      <w:rPr>
        <w:rFonts w:ascii="Symbol" w:hAnsi="Symbol" w:hint="default"/>
      </w:rPr>
    </w:lvl>
    <w:lvl w:ilvl="4" w:tplc="54AE10DE">
      <w:start w:val="1"/>
      <w:numFmt w:val="bullet"/>
      <w:lvlText w:val="o"/>
      <w:lvlJc w:val="left"/>
      <w:pPr>
        <w:ind w:left="3600" w:hanging="360"/>
      </w:pPr>
      <w:rPr>
        <w:rFonts w:ascii="Courier New" w:hAnsi="Courier New" w:hint="default"/>
      </w:rPr>
    </w:lvl>
    <w:lvl w:ilvl="5" w:tplc="6718804C">
      <w:start w:val="1"/>
      <w:numFmt w:val="bullet"/>
      <w:lvlText w:val=""/>
      <w:lvlJc w:val="left"/>
      <w:pPr>
        <w:ind w:left="4320" w:hanging="360"/>
      </w:pPr>
      <w:rPr>
        <w:rFonts w:ascii="Wingdings" w:hAnsi="Wingdings" w:hint="default"/>
      </w:rPr>
    </w:lvl>
    <w:lvl w:ilvl="6" w:tplc="5C2C9CF8">
      <w:start w:val="1"/>
      <w:numFmt w:val="bullet"/>
      <w:lvlText w:val=""/>
      <w:lvlJc w:val="left"/>
      <w:pPr>
        <w:ind w:left="5040" w:hanging="360"/>
      </w:pPr>
      <w:rPr>
        <w:rFonts w:ascii="Symbol" w:hAnsi="Symbol" w:hint="default"/>
      </w:rPr>
    </w:lvl>
    <w:lvl w:ilvl="7" w:tplc="4D1EC934">
      <w:start w:val="1"/>
      <w:numFmt w:val="bullet"/>
      <w:lvlText w:val="o"/>
      <w:lvlJc w:val="left"/>
      <w:pPr>
        <w:ind w:left="5760" w:hanging="360"/>
      </w:pPr>
      <w:rPr>
        <w:rFonts w:ascii="Courier New" w:hAnsi="Courier New" w:hint="default"/>
      </w:rPr>
    </w:lvl>
    <w:lvl w:ilvl="8" w:tplc="64568FDA">
      <w:start w:val="1"/>
      <w:numFmt w:val="bullet"/>
      <w:lvlText w:val=""/>
      <w:lvlJc w:val="left"/>
      <w:pPr>
        <w:ind w:left="6480" w:hanging="360"/>
      </w:pPr>
      <w:rPr>
        <w:rFonts w:ascii="Wingdings" w:hAnsi="Wingdings" w:hint="default"/>
      </w:rPr>
    </w:lvl>
  </w:abstractNum>
  <w:num w:numId="1">
    <w:abstractNumId w:val="23"/>
  </w:num>
  <w:num w:numId="2">
    <w:abstractNumId w:val="55"/>
  </w:num>
  <w:num w:numId="3">
    <w:abstractNumId w:val="46"/>
  </w:num>
  <w:num w:numId="4">
    <w:abstractNumId w:val="14"/>
  </w:num>
  <w:num w:numId="5">
    <w:abstractNumId w:val="2"/>
  </w:num>
  <w:num w:numId="6">
    <w:abstractNumId w:val="59"/>
  </w:num>
  <w:num w:numId="7">
    <w:abstractNumId w:val="65"/>
  </w:num>
  <w:num w:numId="8">
    <w:abstractNumId w:val="57"/>
  </w:num>
  <w:num w:numId="9">
    <w:abstractNumId w:val="51"/>
  </w:num>
  <w:num w:numId="10">
    <w:abstractNumId w:val="44"/>
  </w:num>
  <w:num w:numId="11">
    <w:abstractNumId w:val="19"/>
  </w:num>
  <w:num w:numId="12">
    <w:abstractNumId w:val="48"/>
  </w:num>
  <w:num w:numId="13">
    <w:abstractNumId w:val="47"/>
  </w:num>
  <w:num w:numId="14">
    <w:abstractNumId w:val="38"/>
  </w:num>
  <w:num w:numId="15">
    <w:abstractNumId w:val="54"/>
  </w:num>
  <w:num w:numId="16">
    <w:abstractNumId w:val="60"/>
  </w:num>
  <w:num w:numId="17">
    <w:abstractNumId w:val="56"/>
  </w:num>
  <w:num w:numId="18">
    <w:abstractNumId w:val="62"/>
  </w:num>
  <w:num w:numId="19">
    <w:abstractNumId w:val="31"/>
  </w:num>
  <w:num w:numId="20">
    <w:abstractNumId w:val="29"/>
  </w:num>
  <w:num w:numId="21">
    <w:abstractNumId w:val="50"/>
  </w:num>
  <w:num w:numId="22">
    <w:abstractNumId w:val="33"/>
  </w:num>
  <w:num w:numId="23">
    <w:abstractNumId w:val="45"/>
  </w:num>
  <w:num w:numId="24">
    <w:abstractNumId w:val="6"/>
  </w:num>
  <w:num w:numId="25">
    <w:abstractNumId w:val="4"/>
  </w:num>
  <w:num w:numId="26">
    <w:abstractNumId w:val="26"/>
  </w:num>
  <w:num w:numId="27">
    <w:abstractNumId w:val="16"/>
  </w:num>
  <w:num w:numId="28">
    <w:abstractNumId w:val="27"/>
  </w:num>
  <w:num w:numId="29">
    <w:abstractNumId w:val="42"/>
  </w:num>
  <w:num w:numId="30">
    <w:abstractNumId w:val="53"/>
  </w:num>
  <w:num w:numId="31">
    <w:abstractNumId w:val="7"/>
  </w:num>
  <w:num w:numId="32">
    <w:abstractNumId w:val="12"/>
  </w:num>
  <w:num w:numId="33">
    <w:abstractNumId w:val="37"/>
  </w:num>
  <w:num w:numId="34">
    <w:abstractNumId w:val="8"/>
  </w:num>
  <w:num w:numId="35">
    <w:abstractNumId w:val="10"/>
  </w:num>
  <w:num w:numId="36">
    <w:abstractNumId w:val="11"/>
  </w:num>
  <w:num w:numId="37">
    <w:abstractNumId w:val="20"/>
  </w:num>
  <w:num w:numId="38">
    <w:abstractNumId w:val="30"/>
  </w:num>
  <w:num w:numId="39">
    <w:abstractNumId w:val="41"/>
  </w:num>
  <w:num w:numId="40">
    <w:abstractNumId w:val="63"/>
  </w:num>
  <w:num w:numId="41">
    <w:abstractNumId w:val="21"/>
  </w:num>
  <w:num w:numId="42">
    <w:abstractNumId w:val="22"/>
  </w:num>
  <w:num w:numId="43">
    <w:abstractNumId w:val="64"/>
  </w:num>
  <w:num w:numId="44">
    <w:abstractNumId w:val="40"/>
  </w:num>
  <w:num w:numId="45">
    <w:abstractNumId w:val="43"/>
  </w:num>
  <w:num w:numId="46">
    <w:abstractNumId w:val="9"/>
  </w:num>
  <w:num w:numId="47">
    <w:abstractNumId w:val="0"/>
  </w:num>
  <w:num w:numId="48">
    <w:abstractNumId w:val="0"/>
  </w:num>
  <w:num w:numId="49">
    <w:abstractNumId w:val="39"/>
  </w:num>
  <w:num w:numId="50">
    <w:abstractNumId w:val="13"/>
  </w:num>
  <w:num w:numId="51">
    <w:abstractNumId w:val="60"/>
  </w:num>
  <w:num w:numId="52">
    <w:abstractNumId w:val="25"/>
  </w:num>
  <w:num w:numId="53">
    <w:abstractNumId w:val="58"/>
  </w:num>
  <w:num w:numId="54">
    <w:abstractNumId w:val="49"/>
  </w:num>
  <w:num w:numId="55">
    <w:abstractNumId w:val="35"/>
  </w:num>
  <w:num w:numId="56">
    <w:abstractNumId w:val="3"/>
  </w:num>
  <w:num w:numId="57">
    <w:abstractNumId w:val="32"/>
  </w:num>
  <w:num w:numId="58">
    <w:abstractNumId w:val="24"/>
  </w:num>
  <w:num w:numId="59">
    <w:abstractNumId w:val="52"/>
  </w:num>
  <w:num w:numId="60">
    <w:abstractNumId w:val="34"/>
  </w:num>
  <w:num w:numId="61">
    <w:abstractNumId w:val="36"/>
  </w:num>
  <w:num w:numId="62">
    <w:abstractNumId w:val="17"/>
  </w:num>
  <w:num w:numId="63">
    <w:abstractNumId w:val="5"/>
  </w:num>
  <w:num w:numId="64">
    <w:abstractNumId w:val="28"/>
  </w:num>
  <w:num w:numId="65">
    <w:abstractNumId w:val="18"/>
  </w:num>
  <w:num w:numId="66">
    <w:abstractNumId w:val="1"/>
  </w:num>
  <w:num w:numId="67">
    <w:abstractNumId w:val="15"/>
  </w:num>
  <w:num w:numId="68">
    <w:abstractNumId w:val="6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DocStatus" w:val="Green"/>
    <w:docVar w:name="LW_CORRIGENDUM" w:val="&lt;UNUSED&gt;"/>
    <w:docVar w:name="LW_COVERPAGE_EXISTS" w:val="True"/>
    <w:docVar w:name="LW_COVERPAGE_GUID" w:val="B9D85BAE-1EE2-49ED-A578-DB4FBB33DDF9"/>
    <w:docVar w:name="LW_COVERPAGE_TYPE" w:val="1"/>
    <w:docVar w:name="LW_CROSSREFERENCE" w:val="&lt;UNUSED&gt;"/>
    <w:docVar w:name="LW_DocType" w:val="NORMAL"/>
    <w:docVar w:name="LW_EMISSION" w:val="28.5.2026"/>
    <w:docVar w:name="LW_EMISSION_ISODATE" w:val="2026-05-28"/>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annuel sur les activités de l\u8217?Union européenne en matière de recherche et de développement technologique et sur le suivi d\u8217?«Horizon Europe» en 2025"/>
    <w:docVar w:name="LW_TYPE.DOC.CP" w:val="RAPPORT DE LA COMMISSION AU PARLEMENT EUROPÉEN ET AU CONSEIL"/>
    <w:docVar w:name="LwApiVersions" w:val="LW4CoDe 1.24.5.0; LW 9.2, Build 20251112"/>
  </w:docVars>
  <w:rsids>
    <w:rsidRoot w:val="005643CD"/>
    <w:rsid w:val="0000068A"/>
    <w:rsid w:val="00000BFE"/>
    <w:rsid w:val="00001C06"/>
    <w:rsid w:val="00002CA5"/>
    <w:rsid w:val="0000302A"/>
    <w:rsid w:val="000030E6"/>
    <w:rsid w:val="000031EB"/>
    <w:rsid w:val="0000344B"/>
    <w:rsid w:val="000037C5"/>
    <w:rsid w:val="00003B58"/>
    <w:rsid w:val="0000450E"/>
    <w:rsid w:val="0000468F"/>
    <w:rsid w:val="0000549F"/>
    <w:rsid w:val="00006097"/>
    <w:rsid w:val="00006752"/>
    <w:rsid w:val="0000695E"/>
    <w:rsid w:val="00007215"/>
    <w:rsid w:val="0001020E"/>
    <w:rsid w:val="0001032F"/>
    <w:rsid w:val="00011CC4"/>
    <w:rsid w:val="00012922"/>
    <w:rsid w:val="00013228"/>
    <w:rsid w:val="000137FA"/>
    <w:rsid w:val="000144BD"/>
    <w:rsid w:val="00015553"/>
    <w:rsid w:val="00015EF8"/>
    <w:rsid w:val="00016CBE"/>
    <w:rsid w:val="00017802"/>
    <w:rsid w:val="00020D37"/>
    <w:rsid w:val="00022F7C"/>
    <w:rsid w:val="0002463A"/>
    <w:rsid w:val="000246F9"/>
    <w:rsid w:val="00025545"/>
    <w:rsid w:val="00026231"/>
    <w:rsid w:val="0002698B"/>
    <w:rsid w:val="000274B8"/>
    <w:rsid w:val="00030176"/>
    <w:rsid w:val="000301F1"/>
    <w:rsid w:val="00030756"/>
    <w:rsid w:val="00030B46"/>
    <w:rsid w:val="0003102D"/>
    <w:rsid w:val="00032E28"/>
    <w:rsid w:val="00033880"/>
    <w:rsid w:val="00033CC6"/>
    <w:rsid w:val="000361D6"/>
    <w:rsid w:val="00037704"/>
    <w:rsid w:val="0004071A"/>
    <w:rsid w:val="00042737"/>
    <w:rsid w:val="000446B5"/>
    <w:rsid w:val="00046024"/>
    <w:rsid w:val="000465B8"/>
    <w:rsid w:val="0004796E"/>
    <w:rsid w:val="00047ABC"/>
    <w:rsid w:val="00050011"/>
    <w:rsid w:val="00050F68"/>
    <w:rsid w:val="00051503"/>
    <w:rsid w:val="00051978"/>
    <w:rsid w:val="000519C9"/>
    <w:rsid w:val="00051D64"/>
    <w:rsid w:val="0005262F"/>
    <w:rsid w:val="00052AFE"/>
    <w:rsid w:val="00052D60"/>
    <w:rsid w:val="000530C9"/>
    <w:rsid w:val="00053912"/>
    <w:rsid w:val="000556D2"/>
    <w:rsid w:val="0005618C"/>
    <w:rsid w:val="00056332"/>
    <w:rsid w:val="000566FB"/>
    <w:rsid w:val="0005678F"/>
    <w:rsid w:val="000572D7"/>
    <w:rsid w:val="00060A60"/>
    <w:rsid w:val="000619A6"/>
    <w:rsid w:val="000621D9"/>
    <w:rsid w:val="00063CC2"/>
    <w:rsid w:val="00064005"/>
    <w:rsid w:val="00064A0F"/>
    <w:rsid w:val="000650CC"/>
    <w:rsid w:val="00065220"/>
    <w:rsid w:val="000654E1"/>
    <w:rsid w:val="00065C85"/>
    <w:rsid w:val="0006659B"/>
    <w:rsid w:val="000672D3"/>
    <w:rsid w:val="00067FAF"/>
    <w:rsid w:val="00067FF9"/>
    <w:rsid w:val="000700FF"/>
    <w:rsid w:val="00071189"/>
    <w:rsid w:val="0007118C"/>
    <w:rsid w:val="00073247"/>
    <w:rsid w:val="0007426F"/>
    <w:rsid w:val="0007471B"/>
    <w:rsid w:val="00074A3D"/>
    <w:rsid w:val="00075455"/>
    <w:rsid w:val="00075F37"/>
    <w:rsid w:val="00076EBD"/>
    <w:rsid w:val="000775AE"/>
    <w:rsid w:val="0007771D"/>
    <w:rsid w:val="00080168"/>
    <w:rsid w:val="0008050C"/>
    <w:rsid w:val="00080663"/>
    <w:rsid w:val="00080DC9"/>
    <w:rsid w:val="000814CC"/>
    <w:rsid w:val="000819F2"/>
    <w:rsid w:val="00082A7A"/>
    <w:rsid w:val="00083992"/>
    <w:rsid w:val="00083C59"/>
    <w:rsid w:val="00084D9F"/>
    <w:rsid w:val="00085E2D"/>
    <w:rsid w:val="00085E7E"/>
    <w:rsid w:val="00086A59"/>
    <w:rsid w:val="00092279"/>
    <w:rsid w:val="00092EE1"/>
    <w:rsid w:val="000935A8"/>
    <w:rsid w:val="00093FF9"/>
    <w:rsid w:val="00094173"/>
    <w:rsid w:val="00094214"/>
    <w:rsid w:val="00094A2A"/>
    <w:rsid w:val="000958F9"/>
    <w:rsid w:val="00097ABD"/>
    <w:rsid w:val="000A131E"/>
    <w:rsid w:val="000A2A81"/>
    <w:rsid w:val="000A2D48"/>
    <w:rsid w:val="000A3B64"/>
    <w:rsid w:val="000A4C87"/>
    <w:rsid w:val="000A50FA"/>
    <w:rsid w:val="000A585B"/>
    <w:rsid w:val="000A6C03"/>
    <w:rsid w:val="000A7BAB"/>
    <w:rsid w:val="000B1C1E"/>
    <w:rsid w:val="000B26FE"/>
    <w:rsid w:val="000B2C58"/>
    <w:rsid w:val="000B345D"/>
    <w:rsid w:val="000B3ED2"/>
    <w:rsid w:val="000B3F66"/>
    <w:rsid w:val="000B424B"/>
    <w:rsid w:val="000B4E2A"/>
    <w:rsid w:val="000B5BE0"/>
    <w:rsid w:val="000B6CCD"/>
    <w:rsid w:val="000B7498"/>
    <w:rsid w:val="000B7C2D"/>
    <w:rsid w:val="000C00D1"/>
    <w:rsid w:val="000C0139"/>
    <w:rsid w:val="000C0588"/>
    <w:rsid w:val="000C1935"/>
    <w:rsid w:val="000C1AB6"/>
    <w:rsid w:val="000C1FB6"/>
    <w:rsid w:val="000C27B9"/>
    <w:rsid w:val="000C2AED"/>
    <w:rsid w:val="000C2C22"/>
    <w:rsid w:val="000C379E"/>
    <w:rsid w:val="000C4368"/>
    <w:rsid w:val="000C52C4"/>
    <w:rsid w:val="000C5395"/>
    <w:rsid w:val="000C58E3"/>
    <w:rsid w:val="000D0318"/>
    <w:rsid w:val="000D078C"/>
    <w:rsid w:val="000D1FDB"/>
    <w:rsid w:val="000D26C5"/>
    <w:rsid w:val="000D3057"/>
    <w:rsid w:val="000D3AA8"/>
    <w:rsid w:val="000D47B2"/>
    <w:rsid w:val="000D6A21"/>
    <w:rsid w:val="000E0CD8"/>
    <w:rsid w:val="000E0F9B"/>
    <w:rsid w:val="000E130C"/>
    <w:rsid w:val="000E1E58"/>
    <w:rsid w:val="000E2182"/>
    <w:rsid w:val="000E2F8C"/>
    <w:rsid w:val="000E3C59"/>
    <w:rsid w:val="000E43FC"/>
    <w:rsid w:val="000E690C"/>
    <w:rsid w:val="000E6DE0"/>
    <w:rsid w:val="000F02F4"/>
    <w:rsid w:val="000F0347"/>
    <w:rsid w:val="000F1140"/>
    <w:rsid w:val="000F1B96"/>
    <w:rsid w:val="000F25BE"/>
    <w:rsid w:val="000F5177"/>
    <w:rsid w:val="000F72D7"/>
    <w:rsid w:val="000F77FA"/>
    <w:rsid w:val="000F7946"/>
    <w:rsid w:val="001076B0"/>
    <w:rsid w:val="00107D28"/>
    <w:rsid w:val="00110EF9"/>
    <w:rsid w:val="00110F2D"/>
    <w:rsid w:val="001115A6"/>
    <w:rsid w:val="00111A7A"/>
    <w:rsid w:val="00111CBB"/>
    <w:rsid w:val="001128F1"/>
    <w:rsid w:val="00112AC6"/>
    <w:rsid w:val="00112F0C"/>
    <w:rsid w:val="00113055"/>
    <w:rsid w:val="00113139"/>
    <w:rsid w:val="001134A2"/>
    <w:rsid w:val="0011383E"/>
    <w:rsid w:val="00114053"/>
    <w:rsid w:val="001147E8"/>
    <w:rsid w:val="00116A7C"/>
    <w:rsid w:val="00116E94"/>
    <w:rsid w:val="00120181"/>
    <w:rsid w:val="0012048D"/>
    <w:rsid w:val="00120AAA"/>
    <w:rsid w:val="00120C47"/>
    <w:rsid w:val="0012110C"/>
    <w:rsid w:val="0012202B"/>
    <w:rsid w:val="001235CC"/>
    <w:rsid w:val="0012476A"/>
    <w:rsid w:val="001257BE"/>
    <w:rsid w:val="00125A69"/>
    <w:rsid w:val="001272ED"/>
    <w:rsid w:val="00127901"/>
    <w:rsid w:val="00127E57"/>
    <w:rsid w:val="00127EBA"/>
    <w:rsid w:val="00130EAB"/>
    <w:rsid w:val="00131179"/>
    <w:rsid w:val="00132014"/>
    <w:rsid w:val="00132E83"/>
    <w:rsid w:val="00133EE6"/>
    <w:rsid w:val="00133F0D"/>
    <w:rsid w:val="00134AC8"/>
    <w:rsid w:val="001356C8"/>
    <w:rsid w:val="00135895"/>
    <w:rsid w:val="00135933"/>
    <w:rsid w:val="0013594C"/>
    <w:rsid w:val="00136249"/>
    <w:rsid w:val="00140821"/>
    <w:rsid w:val="00141666"/>
    <w:rsid w:val="0014184C"/>
    <w:rsid w:val="001430A1"/>
    <w:rsid w:val="001439FF"/>
    <w:rsid w:val="00147DFD"/>
    <w:rsid w:val="001504CD"/>
    <w:rsid w:val="00150BD7"/>
    <w:rsid w:val="00152780"/>
    <w:rsid w:val="00152933"/>
    <w:rsid w:val="00152A34"/>
    <w:rsid w:val="00152F50"/>
    <w:rsid w:val="001538AC"/>
    <w:rsid w:val="00154567"/>
    <w:rsid w:val="001549B8"/>
    <w:rsid w:val="00154F4D"/>
    <w:rsid w:val="001564A5"/>
    <w:rsid w:val="001564B6"/>
    <w:rsid w:val="00156C9A"/>
    <w:rsid w:val="00156DA9"/>
    <w:rsid w:val="00161DEA"/>
    <w:rsid w:val="00162403"/>
    <w:rsid w:val="00164F9F"/>
    <w:rsid w:val="0016526C"/>
    <w:rsid w:val="00165924"/>
    <w:rsid w:val="00165E98"/>
    <w:rsid w:val="00165FF7"/>
    <w:rsid w:val="00167EE1"/>
    <w:rsid w:val="00170529"/>
    <w:rsid w:val="0017099D"/>
    <w:rsid w:val="00171AEF"/>
    <w:rsid w:val="00171CA5"/>
    <w:rsid w:val="00172001"/>
    <w:rsid w:val="00175B5C"/>
    <w:rsid w:val="00180311"/>
    <w:rsid w:val="001806CB"/>
    <w:rsid w:val="001812DA"/>
    <w:rsid w:val="00181353"/>
    <w:rsid w:val="001816A7"/>
    <w:rsid w:val="00182034"/>
    <w:rsid w:val="00182701"/>
    <w:rsid w:val="00182F14"/>
    <w:rsid w:val="0018309F"/>
    <w:rsid w:val="0018352F"/>
    <w:rsid w:val="00183BB9"/>
    <w:rsid w:val="0018461F"/>
    <w:rsid w:val="00185284"/>
    <w:rsid w:val="0018630A"/>
    <w:rsid w:val="00186BB8"/>
    <w:rsid w:val="00186ED5"/>
    <w:rsid w:val="00187868"/>
    <w:rsid w:val="00190609"/>
    <w:rsid w:val="0019079D"/>
    <w:rsid w:val="001907EB"/>
    <w:rsid w:val="00190A4D"/>
    <w:rsid w:val="00190D2A"/>
    <w:rsid w:val="00192E91"/>
    <w:rsid w:val="00193015"/>
    <w:rsid w:val="001944AD"/>
    <w:rsid w:val="0019545D"/>
    <w:rsid w:val="00196221"/>
    <w:rsid w:val="0019692F"/>
    <w:rsid w:val="00197E23"/>
    <w:rsid w:val="001A0A0C"/>
    <w:rsid w:val="001A1DAA"/>
    <w:rsid w:val="001A3CB1"/>
    <w:rsid w:val="001A4366"/>
    <w:rsid w:val="001A5BE8"/>
    <w:rsid w:val="001A5E5E"/>
    <w:rsid w:val="001A5F7A"/>
    <w:rsid w:val="001A6353"/>
    <w:rsid w:val="001A673E"/>
    <w:rsid w:val="001A748F"/>
    <w:rsid w:val="001B01F7"/>
    <w:rsid w:val="001B1982"/>
    <w:rsid w:val="001B1C78"/>
    <w:rsid w:val="001B27DA"/>
    <w:rsid w:val="001B341B"/>
    <w:rsid w:val="001B5021"/>
    <w:rsid w:val="001B61A7"/>
    <w:rsid w:val="001B6E7E"/>
    <w:rsid w:val="001B78B4"/>
    <w:rsid w:val="001C0138"/>
    <w:rsid w:val="001C0416"/>
    <w:rsid w:val="001C0F4C"/>
    <w:rsid w:val="001C1EA7"/>
    <w:rsid w:val="001C385F"/>
    <w:rsid w:val="001C3867"/>
    <w:rsid w:val="001C3D50"/>
    <w:rsid w:val="001C3E2A"/>
    <w:rsid w:val="001C4A45"/>
    <w:rsid w:val="001C4B29"/>
    <w:rsid w:val="001C560C"/>
    <w:rsid w:val="001C56CD"/>
    <w:rsid w:val="001C578C"/>
    <w:rsid w:val="001D0530"/>
    <w:rsid w:val="001D06E8"/>
    <w:rsid w:val="001D15D3"/>
    <w:rsid w:val="001D407D"/>
    <w:rsid w:val="001D4782"/>
    <w:rsid w:val="001D4957"/>
    <w:rsid w:val="001D4E9A"/>
    <w:rsid w:val="001D6524"/>
    <w:rsid w:val="001D68A2"/>
    <w:rsid w:val="001E1A27"/>
    <w:rsid w:val="001E32CD"/>
    <w:rsid w:val="001E41FE"/>
    <w:rsid w:val="001E553F"/>
    <w:rsid w:val="001E5F3F"/>
    <w:rsid w:val="001E6564"/>
    <w:rsid w:val="001E6CBA"/>
    <w:rsid w:val="001E700C"/>
    <w:rsid w:val="001F04E9"/>
    <w:rsid w:val="001F081C"/>
    <w:rsid w:val="001F233C"/>
    <w:rsid w:val="001F30A7"/>
    <w:rsid w:val="001F313F"/>
    <w:rsid w:val="001F5842"/>
    <w:rsid w:val="001F5DEA"/>
    <w:rsid w:val="001F6885"/>
    <w:rsid w:val="001F68C5"/>
    <w:rsid w:val="001F77EC"/>
    <w:rsid w:val="002002B5"/>
    <w:rsid w:val="00200A63"/>
    <w:rsid w:val="00202454"/>
    <w:rsid w:val="00202A5A"/>
    <w:rsid w:val="00203694"/>
    <w:rsid w:val="00203E1E"/>
    <w:rsid w:val="00203F39"/>
    <w:rsid w:val="0020525E"/>
    <w:rsid w:val="0020534C"/>
    <w:rsid w:val="00207DFF"/>
    <w:rsid w:val="002100F1"/>
    <w:rsid w:val="0021017C"/>
    <w:rsid w:val="002116B3"/>
    <w:rsid w:val="00212405"/>
    <w:rsid w:val="00214879"/>
    <w:rsid w:val="002148DA"/>
    <w:rsid w:val="00214D81"/>
    <w:rsid w:val="002161A6"/>
    <w:rsid w:val="00216F69"/>
    <w:rsid w:val="00217CB9"/>
    <w:rsid w:val="00220264"/>
    <w:rsid w:val="002205EE"/>
    <w:rsid w:val="002211CE"/>
    <w:rsid w:val="00222FD8"/>
    <w:rsid w:val="002233BC"/>
    <w:rsid w:val="00224537"/>
    <w:rsid w:val="00224CE0"/>
    <w:rsid w:val="00225D05"/>
    <w:rsid w:val="00226BD1"/>
    <w:rsid w:val="00227B01"/>
    <w:rsid w:val="00231603"/>
    <w:rsid w:val="002318F7"/>
    <w:rsid w:val="002333B6"/>
    <w:rsid w:val="002338CA"/>
    <w:rsid w:val="00234E03"/>
    <w:rsid w:val="00235125"/>
    <w:rsid w:val="00235216"/>
    <w:rsid w:val="00235D2A"/>
    <w:rsid w:val="00235FB7"/>
    <w:rsid w:val="002375DA"/>
    <w:rsid w:val="00244238"/>
    <w:rsid w:val="002463DD"/>
    <w:rsid w:val="002465E4"/>
    <w:rsid w:val="00247752"/>
    <w:rsid w:val="002478A2"/>
    <w:rsid w:val="002478AB"/>
    <w:rsid w:val="00247B43"/>
    <w:rsid w:val="002500AD"/>
    <w:rsid w:val="00250DAC"/>
    <w:rsid w:val="0025144A"/>
    <w:rsid w:val="00251B8F"/>
    <w:rsid w:val="0025316F"/>
    <w:rsid w:val="00255B5B"/>
    <w:rsid w:val="0025602F"/>
    <w:rsid w:val="00256D4B"/>
    <w:rsid w:val="002578BF"/>
    <w:rsid w:val="00257B11"/>
    <w:rsid w:val="00257EF9"/>
    <w:rsid w:val="002603EC"/>
    <w:rsid w:val="00261875"/>
    <w:rsid w:val="00261FC2"/>
    <w:rsid w:val="00264B13"/>
    <w:rsid w:val="00265397"/>
    <w:rsid w:val="002653F7"/>
    <w:rsid w:val="00265420"/>
    <w:rsid w:val="002656C4"/>
    <w:rsid w:val="00265DC4"/>
    <w:rsid w:val="002669DA"/>
    <w:rsid w:val="002675FF"/>
    <w:rsid w:val="00267651"/>
    <w:rsid w:val="00267FA0"/>
    <w:rsid w:val="002713FC"/>
    <w:rsid w:val="002719BF"/>
    <w:rsid w:val="00271A67"/>
    <w:rsid w:val="00272AC6"/>
    <w:rsid w:val="00273040"/>
    <w:rsid w:val="00273BD0"/>
    <w:rsid w:val="00274307"/>
    <w:rsid w:val="00274A26"/>
    <w:rsid w:val="00274DB6"/>
    <w:rsid w:val="00274E9E"/>
    <w:rsid w:val="00275300"/>
    <w:rsid w:val="0027532C"/>
    <w:rsid w:val="00275359"/>
    <w:rsid w:val="00275800"/>
    <w:rsid w:val="00275E5E"/>
    <w:rsid w:val="00276699"/>
    <w:rsid w:val="002766AB"/>
    <w:rsid w:val="00276CAF"/>
    <w:rsid w:val="0027765C"/>
    <w:rsid w:val="00280451"/>
    <w:rsid w:val="00280593"/>
    <w:rsid w:val="0028115B"/>
    <w:rsid w:val="002829E8"/>
    <w:rsid w:val="0028366C"/>
    <w:rsid w:val="0028386A"/>
    <w:rsid w:val="0028544F"/>
    <w:rsid w:val="002861D2"/>
    <w:rsid w:val="002874FE"/>
    <w:rsid w:val="00287966"/>
    <w:rsid w:val="00290C78"/>
    <w:rsid w:val="0029192C"/>
    <w:rsid w:val="00292EDF"/>
    <w:rsid w:val="00293704"/>
    <w:rsid w:val="00294626"/>
    <w:rsid w:val="00294A4E"/>
    <w:rsid w:val="00295AE7"/>
    <w:rsid w:val="00296961"/>
    <w:rsid w:val="002971FA"/>
    <w:rsid w:val="00297936"/>
    <w:rsid w:val="002A0B4C"/>
    <w:rsid w:val="002A0EBD"/>
    <w:rsid w:val="002A0FAB"/>
    <w:rsid w:val="002A1AB9"/>
    <w:rsid w:val="002A24C9"/>
    <w:rsid w:val="002A3C2E"/>
    <w:rsid w:val="002A44D4"/>
    <w:rsid w:val="002A4D7D"/>
    <w:rsid w:val="002A5C46"/>
    <w:rsid w:val="002A5C9B"/>
    <w:rsid w:val="002A612F"/>
    <w:rsid w:val="002A62A0"/>
    <w:rsid w:val="002A6FB2"/>
    <w:rsid w:val="002B0221"/>
    <w:rsid w:val="002B0CCF"/>
    <w:rsid w:val="002B15CC"/>
    <w:rsid w:val="002B1F05"/>
    <w:rsid w:val="002B23AA"/>
    <w:rsid w:val="002B2786"/>
    <w:rsid w:val="002B303D"/>
    <w:rsid w:val="002B3C89"/>
    <w:rsid w:val="002B4AA1"/>
    <w:rsid w:val="002B4F51"/>
    <w:rsid w:val="002B68C7"/>
    <w:rsid w:val="002B74F2"/>
    <w:rsid w:val="002B7BB8"/>
    <w:rsid w:val="002C10D0"/>
    <w:rsid w:val="002C1B35"/>
    <w:rsid w:val="002C225B"/>
    <w:rsid w:val="002C2EEB"/>
    <w:rsid w:val="002C4310"/>
    <w:rsid w:val="002C51A2"/>
    <w:rsid w:val="002C559E"/>
    <w:rsid w:val="002C713E"/>
    <w:rsid w:val="002C78FF"/>
    <w:rsid w:val="002D179C"/>
    <w:rsid w:val="002D1AB6"/>
    <w:rsid w:val="002D1ADF"/>
    <w:rsid w:val="002D483C"/>
    <w:rsid w:val="002D516E"/>
    <w:rsid w:val="002D5DAB"/>
    <w:rsid w:val="002D61AB"/>
    <w:rsid w:val="002D69DF"/>
    <w:rsid w:val="002D6C97"/>
    <w:rsid w:val="002E0FC6"/>
    <w:rsid w:val="002E11EA"/>
    <w:rsid w:val="002E156D"/>
    <w:rsid w:val="002E1CD5"/>
    <w:rsid w:val="002E32CA"/>
    <w:rsid w:val="002E37C1"/>
    <w:rsid w:val="002E40BE"/>
    <w:rsid w:val="002E41DB"/>
    <w:rsid w:val="002E448B"/>
    <w:rsid w:val="002E469D"/>
    <w:rsid w:val="002E6470"/>
    <w:rsid w:val="002F0974"/>
    <w:rsid w:val="002F0A50"/>
    <w:rsid w:val="002F0AA3"/>
    <w:rsid w:val="002F0B03"/>
    <w:rsid w:val="002F15F4"/>
    <w:rsid w:val="002F1D1A"/>
    <w:rsid w:val="002F285E"/>
    <w:rsid w:val="002F3CBD"/>
    <w:rsid w:val="002F4337"/>
    <w:rsid w:val="002F44C7"/>
    <w:rsid w:val="002F51F1"/>
    <w:rsid w:val="002F573B"/>
    <w:rsid w:val="002F68E2"/>
    <w:rsid w:val="00301948"/>
    <w:rsid w:val="00302E68"/>
    <w:rsid w:val="00303776"/>
    <w:rsid w:val="0030413C"/>
    <w:rsid w:val="0030418E"/>
    <w:rsid w:val="003041E6"/>
    <w:rsid w:val="00304664"/>
    <w:rsid w:val="00304FDE"/>
    <w:rsid w:val="00306F32"/>
    <w:rsid w:val="003100E3"/>
    <w:rsid w:val="00310B48"/>
    <w:rsid w:val="00311756"/>
    <w:rsid w:val="00314B76"/>
    <w:rsid w:val="00315AE2"/>
    <w:rsid w:val="00316119"/>
    <w:rsid w:val="0031613B"/>
    <w:rsid w:val="003177AE"/>
    <w:rsid w:val="003204B5"/>
    <w:rsid w:val="00320748"/>
    <w:rsid w:val="00320B4E"/>
    <w:rsid w:val="00320E90"/>
    <w:rsid w:val="00322137"/>
    <w:rsid w:val="003226C3"/>
    <w:rsid w:val="003229CE"/>
    <w:rsid w:val="003232B8"/>
    <w:rsid w:val="003233AA"/>
    <w:rsid w:val="00323869"/>
    <w:rsid w:val="0032409E"/>
    <w:rsid w:val="0032456C"/>
    <w:rsid w:val="00324986"/>
    <w:rsid w:val="00325D8F"/>
    <w:rsid w:val="0032638E"/>
    <w:rsid w:val="00326D0C"/>
    <w:rsid w:val="00326DB6"/>
    <w:rsid w:val="003273EE"/>
    <w:rsid w:val="003300EE"/>
    <w:rsid w:val="00330666"/>
    <w:rsid w:val="00330FE7"/>
    <w:rsid w:val="003315A1"/>
    <w:rsid w:val="00331A05"/>
    <w:rsid w:val="00331BEE"/>
    <w:rsid w:val="00331C36"/>
    <w:rsid w:val="003320B4"/>
    <w:rsid w:val="003326A1"/>
    <w:rsid w:val="00332F62"/>
    <w:rsid w:val="003331A9"/>
    <w:rsid w:val="003343FE"/>
    <w:rsid w:val="0033632F"/>
    <w:rsid w:val="0033695E"/>
    <w:rsid w:val="00336BD2"/>
    <w:rsid w:val="00337EA3"/>
    <w:rsid w:val="00337FAD"/>
    <w:rsid w:val="00341895"/>
    <w:rsid w:val="0034210C"/>
    <w:rsid w:val="00343B9A"/>
    <w:rsid w:val="0034406F"/>
    <w:rsid w:val="00344089"/>
    <w:rsid w:val="003447B8"/>
    <w:rsid w:val="0034534F"/>
    <w:rsid w:val="003461D4"/>
    <w:rsid w:val="00346CC3"/>
    <w:rsid w:val="00346D1D"/>
    <w:rsid w:val="00346F2E"/>
    <w:rsid w:val="00350D70"/>
    <w:rsid w:val="003520FA"/>
    <w:rsid w:val="00353079"/>
    <w:rsid w:val="00353AF7"/>
    <w:rsid w:val="003553FB"/>
    <w:rsid w:val="003559C7"/>
    <w:rsid w:val="00355BEE"/>
    <w:rsid w:val="0035607A"/>
    <w:rsid w:val="003560D8"/>
    <w:rsid w:val="00356A73"/>
    <w:rsid w:val="00356DFE"/>
    <w:rsid w:val="00357554"/>
    <w:rsid w:val="003578FD"/>
    <w:rsid w:val="00361DCC"/>
    <w:rsid w:val="0036318D"/>
    <w:rsid w:val="00364050"/>
    <w:rsid w:val="003647A6"/>
    <w:rsid w:val="00364B5B"/>
    <w:rsid w:val="00365908"/>
    <w:rsid w:val="00365D1A"/>
    <w:rsid w:val="003670FC"/>
    <w:rsid w:val="0037055F"/>
    <w:rsid w:val="003720C0"/>
    <w:rsid w:val="00372BB3"/>
    <w:rsid w:val="00372BDE"/>
    <w:rsid w:val="003742AD"/>
    <w:rsid w:val="00374B46"/>
    <w:rsid w:val="00375393"/>
    <w:rsid w:val="0037555C"/>
    <w:rsid w:val="0037576C"/>
    <w:rsid w:val="003778AB"/>
    <w:rsid w:val="00380C15"/>
    <w:rsid w:val="003813D3"/>
    <w:rsid w:val="00381541"/>
    <w:rsid w:val="00381824"/>
    <w:rsid w:val="003841BA"/>
    <w:rsid w:val="00384433"/>
    <w:rsid w:val="003847FF"/>
    <w:rsid w:val="003853D4"/>
    <w:rsid w:val="003859E9"/>
    <w:rsid w:val="0038676B"/>
    <w:rsid w:val="003868CF"/>
    <w:rsid w:val="003907CA"/>
    <w:rsid w:val="00391188"/>
    <w:rsid w:val="00391297"/>
    <w:rsid w:val="003914AE"/>
    <w:rsid w:val="0039184F"/>
    <w:rsid w:val="00391DAD"/>
    <w:rsid w:val="00393438"/>
    <w:rsid w:val="00393451"/>
    <w:rsid w:val="003948FB"/>
    <w:rsid w:val="00394DA9"/>
    <w:rsid w:val="00396AAD"/>
    <w:rsid w:val="00396E57"/>
    <w:rsid w:val="003970C0"/>
    <w:rsid w:val="00397A38"/>
    <w:rsid w:val="003A023E"/>
    <w:rsid w:val="003A02F1"/>
    <w:rsid w:val="003A1EAD"/>
    <w:rsid w:val="003A3544"/>
    <w:rsid w:val="003A356F"/>
    <w:rsid w:val="003A372C"/>
    <w:rsid w:val="003A3EE1"/>
    <w:rsid w:val="003A50C9"/>
    <w:rsid w:val="003A54EE"/>
    <w:rsid w:val="003A6EBB"/>
    <w:rsid w:val="003B20F7"/>
    <w:rsid w:val="003B2355"/>
    <w:rsid w:val="003B2787"/>
    <w:rsid w:val="003B2CA8"/>
    <w:rsid w:val="003B2ED8"/>
    <w:rsid w:val="003B3D34"/>
    <w:rsid w:val="003B56E8"/>
    <w:rsid w:val="003B7717"/>
    <w:rsid w:val="003B7DE1"/>
    <w:rsid w:val="003C0D61"/>
    <w:rsid w:val="003C1F3E"/>
    <w:rsid w:val="003C2892"/>
    <w:rsid w:val="003C4420"/>
    <w:rsid w:val="003C4745"/>
    <w:rsid w:val="003C4B9B"/>
    <w:rsid w:val="003C51A4"/>
    <w:rsid w:val="003C65D9"/>
    <w:rsid w:val="003C6DE4"/>
    <w:rsid w:val="003D0E5F"/>
    <w:rsid w:val="003D1208"/>
    <w:rsid w:val="003D3D1E"/>
    <w:rsid w:val="003D4A8C"/>
    <w:rsid w:val="003D545B"/>
    <w:rsid w:val="003D5690"/>
    <w:rsid w:val="003D58CD"/>
    <w:rsid w:val="003D6029"/>
    <w:rsid w:val="003D66B0"/>
    <w:rsid w:val="003D69C3"/>
    <w:rsid w:val="003E2DB5"/>
    <w:rsid w:val="003E2FFC"/>
    <w:rsid w:val="003E329A"/>
    <w:rsid w:val="003E459C"/>
    <w:rsid w:val="003E4EB3"/>
    <w:rsid w:val="003E5217"/>
    <w:rsid w:val="003E5B2D"/>
    <w:rsid w:val="003E6048"/>
    <w:rsid w:val="003E6312"/>
    <w:rsid w:val="003E6632"/>
    <w:rsid w:val="003E7560"/>
    <w:rsid w:val="003E7ABA"/>
    <w:rsid w:val="003E7C43"/>
    <w:rsid w:val="003E7F04"/>
    <w:rsid w:val="003F16F7"/>
    <w:rsid w:val="003F19F0"/>
    <w:rsid w:val="003F2028"/>
    <w:rsid w:val="003F3D73"/>
    <w:rsid w:val="003F3FB4"/>
    <w:rsid w:val="003F62FC"/>
    <w:rsid w:val="003F6560"/>
    <w:rsid w:val="00400D10"/>
    <w:rsid w:val="004022FE"/>
    <w:rsid w:val="00402468"/>
    <w:rsid w:val="00402B3B"/>
    <w:rsid w:val="004033FB"/>
    <w:rsid w:val="0040362C"/>
    <w:rsid w:val="00403951"/>
    <w:rsid w:val="00403988"/>
    <w:rsid w:val="00404CCC"/>
    <w:rsid w:val="00404E29"/>
    <w:rsid w:val="00405C6A"/>
    <w:rsid w:val="004062EA"/>
    <w:rsid w:val="00406470"/>
    <w:rsid w:val="004074FE"/>
    <w:rsid w:val="00407C76"/>
    <w:rsid w:val="004104B3"/>
    <w:rsid w:val="0041144F"/>
    <w:rsid w:val="00412194"/>
    <w:rsid w:val="004128E6"/>
    <w:rsid w:val="00412A0F"/>
    <w:rsid w:val="00412A23"/>
    <w:rsid w:val="00414356"/>
    <w:rsid w:val="00414BBC"/>
    <w:rsid w:val="00415781"/>
    <w:rsid w:val="00415C64"/>
    <w:rsid w:val="00420216"/>
    <w:rsid w:val="00420494"/>
    <w:rsid w:val="004204C9"/>
    <w:rsid w:val="00420B0D"/>
    <w:rsid w:val="00420B96"/>
    <w:rsid w:val="0042189F"/>
    <w:rsid w:val="00421A30"/>
    <w:rsid w:val="00423D3B"/>
    <w:rsid w:val="004264C9"/>
    <w:rsid w:val="00426D40"/>
    <w:rsid w:val="0042759E"/>
    <w:rsid w:val="00430497"/>
    <w:rsid w:val="004322BF"/>
    <w:rsid w:val="004330F8"/>
    <w:rsid w:val="00434190"/>
    <w:rsid w:val="00435537"/>
    <w:rsid w:val="0043568B"/>
    <w:rsid w:val="00435F1A"/>
    <w:rsid w:val="004361D6"/>
    <w:rsid w:val="00436293"/>
    <w:rsid w:val="0043634A"/>
    <w:rsid w:val="00436EC1"/>
    <w:rsid w:val="00437338"/>
    <w:rsid w:val="004377F4"/>
    <w:rsid w:val="00442240"/>
    <w:rsid w:val="00443687"/>
    <w:rsid w:val="00446F6D"/>
    <w:rsid w:val="00447F3E"/>
    <w:rsid w:val="00450080"/>
    <w:rsid w:val="004504EA"/>
    <w:rsid w:val="0045149C"/>
    <w:rsid w:val="00451E97"/>
    <w:rsid w:val="00454487"/>
    <w:rsid w:val="0045492A"/>
    <w:rsid w:val="004551DD"/>
    <w:rsid w:val="00455F17"/>
    <w:rsid w:val="00456887"/>
    <w:rsid w:val="0045749C"/>
    <w:rsid w:val="00461B0F"/>
    <w:rsid w:val="00462036"/>
    <w:rsid w:val="00462256"/>
    <w:rsid w:val="004636EE"/>
    <w:rsid w:val="004638A7"/>
    <w:rsid w:val="00463DD6"/>
    <w:rsid w:val="00464C0C"/>
    <w:rsid w:val="004651B1"/>
    <w:rsid w:val="00465B7E"/>
    <w:rsid w:val="00465E93"/>
    <w:rsid w:val="00467711"/>
    <w:rsid w:val="00467765"/>
    <w:rsid w:val="00470E95"/>
    <w:rsid w:val="0047185D"/>
    <w:rsid w:val="00471F25"/>
    <w:rsid w:val="004727ED"/>
    <w:rsid w:val="00472EC1"/>
    <w:rsid w:val="00472FDE"/>
    <w:rsid w:val="0047305F"/>
    <w:rsid w:val="00473439"/>
    <w:rsid w:val="00474415"/>
    <w:rsid w:val="0047524C"/>
    <w:rsid w:val="004758D9"/>
    <w:rsid w:val="00476764"/>
    <w:rsid w:val="0047752F"/>
    <w:rsid w:val="00477813"/>
    <w:rsid w:val="00480086"/>
    <w:rsid w:val="004800EC"/>
    <w:rsid w:val="00480E34"/>
    <w:rsid w:val="0048139C"/>
    <w:rsid w:val="00484697"/>
    <w:rsid w:val="00485810"/>
    <w:rsid w:val="004858CF"/>
    <w:rsid w:val="00485C2B"/>
    <w:rsid w:val="00485D05"/>
    <w:rsid w:val="004865F6"/>
    <w:rsid w:val="00487622"/>
    <w:rsid w:val="004878E7"/>
    <w:rsid w:val="00487DAB"/>
    <w:rsid w:val="00490682"/>
    <w:rsid w:val="00490A58"/>
    <w:rsid w:val="004912BF"/>
    <w:rsid w:val="0049144D"/>
    <w:rsid w:val="004915F8"/>
    <w:rsid w:val="00492D89"/>
    <w:rsid w:val="0049350C"/>
    <w:rsid w:val="00494732"/>
    <w:rsid w:val="00494A15"/>
    <w:rsid w:val="0049533D"/>
    <w:rsid w:val="00495640"/>
    <w:rsid w:val="004961F9"/>
    <w:rsid w:val="00497085"/>
    <w:rsid w:val="0049722C"/>
    <w:rsid w:val="004A097D"/>
    <w:rsid w:val="004A0BC8"/>
    <w:rsid w:val="004A18E3"/>
    <w:rsid w:val="004A18F7"/>
    <w:rsid w:val="004A2386"/>
    <w:rsid w:val="004A2ABC"/>
    <w:rsid w:val="004A2CF5"/>
    <w:rsid w:val="004A311A"/>
    <w:rsid w:val="004A3264"/>
    <w:rsid w:val="004A3A9A"/>
    <w:rsid w:val="004A3DDB"/>
    <w:rsid w:val="004A44C1"/>
    <w:rsid w:val="004A50F5"/>
    <w:rsid w:val="004A5CFE"/>
    <w:rsid w:val="004A6461"/>
    <w:rsid w:val="004A6B44"/>
    <w:rsid w:val="004A728E"/>
    <w:rsid w:val="004B0E77"/>
    <w:rsid w:val="004B15E0"/>
    <w:rsid w:val="004B1C74"/>
    <w:rsid w:val="004B25B1"/>
    <w:rsid w:val="004B2954"/>
    <w:rsid w:val="004B44F7"/>
    <w:rsid w:val="004B5E3E"/>
    <w:rsid w:val="004B5F9D"/>
    <w:rsid w:val="004B6439"/>
    <w:rsid w:val="004B7267"/>
    <w:rsid w:val="004B7BA7"/>
    <w:rsid w:val="004B7FB2"/>
    <w:rsid w:val="004C0196"/>
    <w:rsid w:val="004C02A8"/>
    <w:rsid w:val="004C0D26"/>
    <w:rsid w:val="004C18C6"/>
    <w:rsid w:val="004C1C15"/>
    <w:rsid w:val="004C2906"/>
    <w:rsid w:val="004C5CBB"/>
    <w:rsid w:val="004C6319"/>
    <w:rsid w:val="004C6C94"/>
    <w:rsid w:val="004D0421"/>
    <w:rsid w:val="004D1277"/>
    <w:rsid w:val="004D1CF3"/>
    <w:rsid w:val="004D2B7D"/>
    <w:rsid w:val="004D2D3E"/>
    <w:rsid w:val="004D3259"/>
    <w:rsid w:val="004D34B1"/>
    <w:rsid w:val="004D428B"/>
    <w:rsid w:val="004D4D0C"/>
    <w:rsid w:val="004D4EA7"/>
    <w:rsid w:val="004D5365"/>
    <w:rsid w:val="004D5408"/>
    <w:rsid w:val="004D5AD1"/>
    <w:rsid w:val="004D77ED"/>
    <w:rsid w:val="004D77F2"/>
    <w:rsid w:val="004D792C"/>
    <w:rsid w:val="004E05F8"/>
    <w:rsid w:val="004E0BBE"/>
    <w:rsid w:val="004E0E43"/>
    <w:rsid w:val="004E1B3F"/>
    <w:rsid w:val="004E2381"/>
    <w:rsid w:val="004E2D37"/>
    <w:rsid w:val="004E3448"/>
    <w:rsid w:val="004E3AA2"/>
    <w:rsid w:val="004E500A"/>
    <w:rsid w:val="004E557A"/>
    <w:rsid w:val="004E5737"/>
    <w:rsid w:val="004E7593"/>
    <w:rsid w:val="004E7A2D"/>
    <w:rsid w:val="004E7B37"/>
    <w:rsid w:val="004E7DB8"/>
    <w:rsid w:val="004F0F72"/>
    <w:rsid w:val="004F0FA1"/>
    <w:rsid w:val="004F0FEB"/>
    <w:rsid w:val="004F1827"/>
    <w:rsid w:val="004F4052"/>
    <w:rsid w:val="004F47B9"/>
    <w:rsid w:val="004F4B59"/>
    <w:rsid w:val="004F569D"/>
    <w:rsid w:val="004F582C"/>
    <w:rsid w:val="004F5A2A"/>
    <w:rsid w:val="004F5D7D"/>
    <w:rsid w:val="004F6491"/>
    <w:rsid w:val="004F776A"/>
    <w:rsid w:val="004F7AC2"/>
    <w:rsid w:val="00500E5A"/>
    <w:rsid w:val="005010F2"/>
    <w:rsid w:val="00501ABE"/>
    <w:rsid w:val="00502289"/>
    <w:rsid w:val="005027D9"/>
    <w:rsid w:val="00502931"/>
    <w:rsid w:val="00502CD2"/>
    <w:rsid w:val="0050420D"/>
    <w:rsid w:val="005059C5"/>
    <w:rsid w:val="005074EC"/>
    <w:rsid w:val="00507C59"/>
    <w:rsid w:val="00510FF2"/>
    <w:rsid w:val="005116FC"/>
    <w:rsid w:val="00512633"/>
    <w:rsid w:val="005135C5"/>
    <w:rsid w:val="00513E70"/>
    <w:rsid w:val="005144FB"/>
    <w:rsid w:val="00514FEE"/>
    <w:rsid w:val="0051565B"/>
    <w:rsid w:val="0051644F"/>
    <w:rsid w:val="00516774"/>
    <w:rsid w:val="00517AA6"/>
    <w:rsid w:val="00517B47"/>
    <w:rsid w:val="00517BCE"/>
    <w:rsid w:val="00520B43"/>
    <w:rsid w:val="00521402"/>
    <w:rsid w:val="00521D5B"/>
    <w:rsid w:val="00522437"/>
    <w:rsid w:val="00522AEF"/>
    <w:rsid w:val="00523279"/>
    <w:rsid w:val="005234EF"/>
    <w:rsid w:val="00523D8D"/>
    <w:rsid w:val="005241EF"/>
    <w:rsid w:val="0052491D"/>
    <w:rsid w:val="00524A59"/>
    <w:rsid w:val="00525540"/>
    <w:rsid w:val="005255C8"/>
    <w:rsid w:val="005256FB"/>
    <w:rsid w:val="0052688F"/>
    <w:rsid w:val="00526979"/>
    <w:rsid w:val="005279F7"/>
    <w:rsid w:val="005307CF"/>
    <w:rsid w:val="00530D3A"/>
    <w:rsid w:val="005320F0"/>
    <w:rsid w:val="005322A5"/>
    <w:rsid w:val="0053284D"/>
    <w:rsid w:val="00532C4D"/>
    <w:rsid w:val="00532D9B"/>
    <w:rsid w:val="00533060"/>
    <w:rsid w:val="005361EB"/>
    <w:rsid w:val="005367EA"/>
    <w:rsid w:val="00537118"/>
    <w:rsid w:val="00537FD9"/>
    <w:rsid w:val="0054049E"/>
    <w:rsid w:val="00540BF3"/>
    <w:rsid w:val="005410E0"/>
    <w:rsid w:val="00541BD5"/>
    <w:rsid w:val="00541F15"/>
    <w:rsid w:val="0054266C"/>
    <w:rsid w:val="00542780"/>
    <w:rsid w:val="00542C54"/>
    <w:rsid w:val="00544698"/>
    <w:rsid w:val="00544BD6"/>
    <w:rsid w:val="005457DA"/>
    <w:rsid w:val="00546A39"/>
    <w:rsid w:val="00547252"/>
    <w:rsid w:val="00547377"/>
    <w:rsid w:val="0055009E"/>
    <w:rsid w:val="00554E0E"/>
    <w:rsid w:val="00554F57"/>
    <w:rsid w:val="00555088"/>
    <w:rsid w:val="005555EE"/>
    <w:rsid w:val="00556BA8"/>
    <w:rsid w:val="0055734E"/>
    <w:rsid w:val="005575C0"/>
    <w:rsid w:val="00557C57"/>
    <w:rsid w:val="00560497"/>
    <w:rsid w:val="0056199F"/>
    <w:rsid w:val="00561B76"/>
    <w:rsid w:val="00562B2A"/>
    <w:rsid w:val="005632BF"/>
    <w:rsid w:val="0056421B"/>
    <w:rsid w:val="005643CD"/>
    <w:rsid w:val="00565077"/>
    <w:rsid w:val="005652A1"/>
    <w:rsid w:val="00565B28"/>
    <w:rsid w:val="005666FC"/>
    <w:rsid w:val="00567360"/>
    <w:rsid w:val="005673DA"/>
    <w:rsid w:val="005709C6"/>
    <w:rsid w:val="005709FF"/>
    <w:rsid w:val="00571757"/>
    <w:rsid w:val="00571C44"/>
    <w:rsid w:val="00571CDC"/>
    <w:rsid w:val="005725E8"/>
    <w:rsid w:val="00573A19"/>
    <w:rsid w:val="00574542"/>
    <w:rsid w:val="005758BF"/>
    <w:rsid w:val="0057792C"/>
    <w:rsid w:val="0058022B"/>
    <w:rsid w:val="00580A50"/>
    <w:rsid w:val="00580CA5"/>
    <w:rsid w:val="00580E44"/>
    <w:rsid w:val="00582023"/>
    <w:rsid w:val="0058226C"/>
    <w:rsid w:val="005825A2"/>
    <w:rsid w:val="00582962"/>
    <w:rsid w:val="005834D9"/>
    <w:rsid w:val="00584510"/>
    <w:rsid w:val="00584A7C"/>
    <w:rsid w:val="00584C4E"/>
    <w:rsid w:val="00584DBD"/>
    <w:rsid w:val="00584E75"/>
    <w:rsid w:val="00585666"/>
    <w:rsid w:val="00585700"/>
    <w:rsid w:val="00586DCA"/>
    <w:rsid w:val="0058726A"/>
    <w:rsid w:val="00587F06"/>
    <w:rsid w:val="00587FA6"/>
    <w:rsid w:val="00590F07"/>
    <w:rsid w:val="00591D3F"/>
    <w:rsid w:val="0059593C"/>
    <w:rsid w:val="00595EAC"/>
    <w:rsid w:val="00595FCA"/>
    <w:rsid w:val="00596D9C"/>
    <w:rsid w:val="00597846"/>
    <w:rsid w:val="005A06F2"/>
    <w:rsid w:val="005A3965"/>
    <w:rsid w:val="005A406C"/>
    <w:rsid w:val="005A5B8C"/>
    <w:rsid w:val="005A6EF8"/>
    <w:rsid w:val="005B1DD1"/>
    <w:rsid w:val="005B1F49"/>
    <w:rsid w:val="005B3532"/>
    <w:rsid w:val="005B4291"/>
    <w:rsid w:val="005B4AAF"/>
    <w:rsid w:val="005B4D60"/>
    <w:rsid w:val="005B52FF"/>
    <w:rsid w:val="005B5D9E"/>
    <w:rsid w:val="005B5E8D"/>
    <w:rsid w:val="005B69C5"/>
    <w:rsid w:val="005B732E"/>
    <w:rsid w:val="005B733E"/>
    <w:rsid w:val="005B7C40"/>
    <w:rsid w:val="005B7EF5"/>
    <w:rsid w:val="005C0E46"/>
    <w:rsid w:val="005C1020"/>
    <w:rsid w:val="005C1027"/>
    <w:rsid w:val="005C379D"/>
    <w:rsid w:val="005C392C"/>
    <w:rsid w:val="005C3BF9"/>
    <w:rsid w:val="005C46DC"/>
    <w:rsid w:val="005C4D05"/>
    <w:rsid w:val="005C4F08"/>
    <w:rsid w:val="005C5DB0"/>
    <w:rsid w:val="005C66B3"/>
    <w:rsid w:val="005C70D1"/>
    <w:rsid w:val="005C77C4"/>
    <w:rsid w:val="005C79C8"/>
    <w:rsid w:val="005C7BA8"/>
    <w:rsid w:val="005C7D17"/>
    <w:rsid w:val="005D0424"/>
    <w:rsid w:val="005D05FF"/>
    <w:rsid w:val="005D1113"/>
    <w:rsid w:val="005D12AA"/>
    <w:rsid w:val="005D1C81"/>
    <w:rsid w:val="005D22D0"/>
    <w:rsid w:val="005D29D4"/>
    <w:rsid w:val="005D324A"/>
    <w:rsid w:val="005D42DE"/>
    <w:rsid w:val="005D447B"/>
    <w:rsid w:val="005D4E21"/>
    <w:rsid w:val="005D5BDE"/>
    <w:rsid w:val="005D632F"/>
    <w:rsid w:val="005E08A9"/>
    <w:rsid w:val="005E20D2"/>
    <w:rsid w:val="005E23BD"/>
    <w:rsid w:val="005E293B"/>
    <w:rsid w:val="005E2AE4"/>
    <w:rsid w:val="005E2FCB"/>
    <w:rsid w:val="005E308D"/>
    <w:rsid w:val="005E3888"/>
    <w:rsid w:val="005E4E15"/>
    <w:rsid w:val="005E5192"/>
    <w:rsid w:val="005E5DC3"/>
    <w:rsid w:val="005E6F13"/>
    <w:rsid w:val="005E7B29"/>
    <w:rsid w:val="005F0D9C"/>
    <w:rsid w:val="005F0FC9"/>
    <w:rsid w:val="005F2460"/>
    <w:rsid w:val="005F24D1"/>
    <w:rsid w:val="005F2A1A"/>
    <w:rsid w:val="005F3417"/>
    <w:rsid w:val="005F4BCC"/>
    <w:rsid w:val="005F69ED"/>
    <w:rsid w:val="005F70B0"/>
    <w:rsid w:val="005F745C"/>
    <w:rsid w:val="005F7BF4"/>
    <w:rsid w:val="005F7EF6"/>
    <w:rsid w:val="006001A9"/>
    <w:rsid w:val="00600683"/>
    <w:rsid w:val="0060088E"/>
    <w:rsid w:val="006013A4"/>
    <w:rsid w:val="0060195B"/>
    <w:rsid w:val="00601D3C"/>
    <w:rsid w:val="00602ED7"/>
    <w:rsid w:val="00604413"/>
    <w:rsid w:val="00605076"/>
    <w:rsid w:val="00606AF1"/>
    <w:rsid w:val="00606CB2"/>
    <w:rsid w:val="00607F09"/>
    <w:rsid w:val="00610DB4"/>
    <w:rsid w:val="00610FBF"/>
    <w:rsid w:val="006115E8"/>
    <w:rsid w:val="0061171E"/>
    <w:rsid w:val="00611B00"/>
    <w:rsid w:val="00611D1C"/>
    <w:rsid w:val="0061428C"/>
    <w:rsid w:val="00614388"/>
    <w:rsid w:val="00614D5D"/>
    <w:rsid w:val="00615B55"/>
    <w:rsid w:val="00616103"/>
    <w:rsid w:val="00616549"/>
    <w:rsid w:val="00617C19"/>
    <w:rsid w:val="00620103"/>
    <w:rsid w:val="006204E7"/>
    <w:rsid w:val="00620536"/>
    <w:rsid w:val="006207FE"/>
    <w:rsid w:val="00620A0E"/>
    <w:rsid w:val="006228F3"/>
    <w:rsid w:val="00624831"/>
    <w:rsid w:val="00626078"/>
    <w:rsid w:val="00626089"/>
    <w:rsid w:val="00626E3B"/>
    <w:rsid w:val="0062728A"/>
    <w:rsid w:val="00627A2A"/>
    <w:rsid w:val="00627EFE"/>
    <w:rsid w:val="006301AD"/>
    <w:rsid w:val="00630CC2"/>
    <w:rsid w:val="006310B2"/>
    <w:rsid w:val="0063247F"/>
    <w:rsid w:val="0063301D"/>
    <w:rsid w:val="00634417"/>
    <w:rsid w:val="0063455C"/>
    <w:rsid w:val="006349C8"/>
    <w:rsid w:val="00637A9B"/>
    <w:rsid w:val="006400B3"/>
    <w:rsid w:val="00640A76"/>
    <w:rsid w:val="00641296"/>
    <w:rsid w:val="00645382"/>
    <w:rsid w:val="00645663"/>
    <w:rsid w:val="00651923"/>
    <w:rsid w:val="00651FE1"/>
    <w:rsid w:val="006530AC"/>
    <w:rsid w:val="00653496"/>
    <w:rsid w:val="00654491"/>
    <w:rsid w:val="00654BDC"/>
    <w:rsid w:val="006551D6"/>
    <w:rsid w:val="00655392"/>
    <w:rsid w:val="006555A8"/>
    <w:rsid w:val="00655D10"/>
    <w:rsid w:val="00656874"/>
    <w:rsid w:val="00660F19"/>
    <w:rsid w:val="0066112B"/>
    <w:rsid w:val="00661210"/>
    <w:rsid w:val="006615A4"/>
    <w:rsid w:val="0066176C"/>
    <w:rsid w:val="00662773"/>
    <w:rsid w:val="006630F7"/>
    <w:rsid w:val="0066329B"/>
    <w:rsid w:val="0066330C"/>
    <w:rsid w:val="006635C5"/>
    <w:rsid w:val="00663647"/>
    <w:rsid w:val="006638BC"/>
    <w:rsid w:val="00663D56"/>
    <w:rsid w:val="00664383"/>
    <w:rsid w:val="006657CB"/>
    <w:rsid w:val="00665BFF"/>
    <w:rsid w:val="00665E0C"/>
    <w:rsid w:val="00666400"/>
    <w:rsid w:val="00666480"/>
    <w:rsid w:val="006675BC"/>
    <w:rsid w:val="0067050D"/>
    <w:rsid w:val="00670C37"/>
    <w:rsid w:val="00671460"/>
    <w:rsid w:val="006714B4"/>
    <w:rsid w:val="006714B6"/>
    <w:rsid w:val="0067204C"/>
    <w:rsid w:val="00672A40"/>
    <w:rsid w:val="00672D57"/>
    <w:rsid w:val="006731E4"/>
    <w:rsid w:val="006738F2"/>
    <w:rsid w:val="0067508F"/>
    <w:rsid w:val="006769EF"/>
    <w:rsid w:val="00677460"/>
    <w:rsid w:val="006804FF"/>
    <w:rsid w:val="0068072C"/>
    <w:rsid w:val="00680FCA"/>
    <w:rsid w:val="00681B8A"/>
    <w:rsid w:val="00681BD9"/>
    <w:rsid w:val="00681F33"/>
    <w:rsid w:val="006824B2"/>
    <w:rsid w:val="00682E88"/>
    <w:rsid w:val="00682F4C"/>
    <w:rsid w:val="00684067"/>
    <w:rsid w:val="006845DB"/>
    <w:rsid w:val="00684DD2"/>
    <w:rsid w:val="00684E17"/>
    <w:rsid w:val="00685644"/>
    <w:rsid w:val="00685B6A"/>
    <w:rsid w:val="006870C9"/>
    <w:rsid w:val="0069022A"/>
    <w:rsid w:val="00691179"/>
    <w:rsid w:val="00693EC8"/>
    <w:rsid w:val="00694579"/>
    <w:rsid w:val="00694876"/>
    <w:rsid w:val="00694D7F"/>
    <w:rsid w:val="00694E39"/>
    <w:rsid w:val="00695FF1"/>
    <w:rsid w:val="0069623B"/>
    <w:rsid w:val="0069692E"/>
    <w:rsid w:val="006969A8"/>
    <w:rsid w:val="006971BA"/>
    <w:rsid w:val="00697E44"/>
    <w:rsid w:val="006A041A"/>
    <w:rsid w:val="006A09D0"/>
    <w:rsid w:val="006A12F8"/>
    <w:rsid w:val="006A1456"/>
    <w:rsid w:val="006A1656"/>
    <w:rsid w:val="006A1678"/>
    <w:rsid w:val="006A222F"/>
    <w:rsid w:val="006A2580"/>
    <w:rsid w:val="006A289B"/>
    <w:rsid w:val="006A2B65"/>
    <w:rsid w:val="006A40BC"/>
    <w:rsid w:val="006A50CC"/>
    <w:rsid w:val="006A5119"/>
    <w:rsid w:val="006A5A69"/>
    <w:rsid w:val="006A5CA3"/>
    <w:rsid w:val="006A5F4F"/>
    <w:rsid w:val="006A6134"/>
    <w:rsid w:val="006A72C2"/>
    <w:rsid w:val="006A76ED"/>
    <w:rsid w:val="006A7B59"/>
    <w:rsid w:val="006A7BA1"/>
    <w:rsid w:val="006A7ECA"/>
    <w:rsid w:val="006B01DE"/>
    <w:rsid w:val="006B15DC"/>
    <w:rsid w:val="006B215D"/>
    <w:rsid w:val="006B2C6E"/>
    <w:rsid w:val="006B3172"/>
    <w:rsid w:val="006B43DA"/>
    <w:rsid w:val="006B5022"/>
    <w:rsid w:val="006B6D9D"/>
    <w:rsid w:val="006C0AAE"/>
    <w:rsid w:val="006C0E08"/>
    <w:rsid w:val="006C212E"/>
    <w:rsid w:val="006C28D2"/>
    <w:rsid w:val="006C2C55"/>
    <w:rsid w:val="006C5884"/>
    <w:rsid w:val="006C63EE"/>
    <w:rsid w:val="006C6984"/>
    <w:rsid w:val="006C7BE9"/>
    <w:rsid w:val="006D0947"/>
    <w:rsid w:val="006D27B9"/>
    <w:rsid w:val="006D2C61"/>
    <w:rsid w:val="006D315A"/>
    <w:rsid w:val="006D418F"/>
    <w:rsid w:val="006D563E"/>
    <w:rsid w:val="006D5693"/>
    <w:rsid w:val="006D56B7"/>
    <w:rsid w:val="006D6B69"/>
    <w:rsid w:val="006D6B82"/>
    <w:rsid w:val="006E173E"/>
    <w:rsid w:val="006E27B0"/>
    <w:rsid w:val="006E27BF"/>
    <w:rsid w:val="006E3493"/>
    <w:rsid w:val="006E40F8"/>
    <w:rsid w:val="006E4A92"/>
    <w:rsid w:val="006E5BE0"/>
    <w:rsid w:val="006E5FB4"/>
    <w:rsid w:val="006E7BD3"/>
    <w:rsid w:val="006E7C29"/>
    <w:rsid w:val="006F2324"/>
    <w:rsid w:val="006F2EDD"/>
    <w:rsid w:val="006F3834"/>
    <w:rsid w:val="006F3C5F"/>
    <w:rsid w:val="006F4A66"/>
    <w:rsid w:val="006F4EF3"/>
    <w:rsid w:val="006F62DD"/>
    <w:rsid w:val="007005EA"/>
    <w:rsid w:val="00700C54"/>
    <w:rsid w:val="0070207B"/>
    <w:rsid w:val="00702E81"/>
    <w:rsid w:val="00703B10"/>
    <w:rsid w:val="0070473B"/>
    <w:rsid w:val="00704EF1"/>
    <w:rsid w:val="00704F64"/>
    <w:rsid w:val="00705069"/>
    <w:rsid w:val="00706374"/>
    <w:rsid w:val="007063E8"/>
    <w:rsid w:val="007064BA"/>
    <w:rsid w:val="007068C9"/>
    <w:rsid w:val="0070701C"/>
    <w:rsid w:val="00707655"/>
    <w:rsid w:val="00711628"/>
    <w:rsid w:val="007146D8"/>
    <w:rsid w:val="00714D01"/>
    <w:rsid w:val="00715770"/>
    <w:rsid w:val="00715A59"/>
    <w:rsid w:val="00715C19"/>
    <w:rsid w:val="00716A2D"/>
    <w:rsid w:val="00717177"/>
    <w:rsid w:val="00717592"/>
    <w:rsid w:val="00721127"/>
    <w:rsid w:val="00721A41"/>
    <w:rsid w:val="00722864"/>
    <w:rsid w:val="00723135"/>
    <w:rsid w:val="0072385A"/>
    <w:rsid w:val="0072438A"/>
    <w:rsid w:val="00724DAD"/>
    <w:rsid w:val="0072642D"/>
    <w:rsid w:val="0072655D"/>
    <w:rsid w:val="00726B10"/>
    <w:rsid w:val="00727610"/>
    <w:rsid w:val="007305ED"/>
    <w:rsid w:val="00731066"/>
    <w:rsid w:val="00732529"/>
    <w:rsid w:val="00733443"/>
    <w:rsid w:val="00733873"/>
    <w:rsid w:val="007338C7"/>
    <w:rsid w:val="00734328"/>
    <w:rsid w:val="00735B51"/>
    <w:rsid w:val="00736192"/>
    <w:rsid w:val="0073634E"/>
    <w:rsid w:val="0073644B"/>
    <w:rsid w:val="00740876"/>
    <w:rsid w:val="0074088F"/>
    <w:rsid w:val="00740949"/>
    <w:rsid w:val="00741089"/>
    <w:rsid w:val="00741336"/>
    <w:rsid w:val="007415CC"/>
    <w:rsid w:val="007423EC"/>
    <w:rsid w:val="007426CC"/>
    <w:rsid w:val="007428A2"/>
    <w:rsid w:val="007443B2"/>
    <w:rsid w:val="00744981"/>
    <w:rsid w:val="00744A65"/>
    <w:rsid w:val="00744EE5"/>
    <w:rsid w:val="00745C97"/>
    <w:rsid w:val="007465D3"/>
    <w:rsid w:val="007469B2"/>
    <w:rsid w:val="00746CD7"/>
    <w:rsid w:val="00747332"/>
    <w:rsid w:val="007505B8"/>
    <w:rsid w:val="00750B7B"/>
    <w:rsid w:val="0075132B"/>
    <w:rsid w:val="0075158E"/>
    <w:rsid w:val="00751862"/>
    <w:rsid w:val="00752344"/>
    <w:rsid w:val="00752C42"/>
    <w:rsid w:val="00752C78"/>
    <w:rsid w:val="007536CC"/>
    <w:rsid w:val="0075380D"/>
    <w:rsid w:val="007543E1"/>
    <w:rsid w:val="00754EFB"/>
    <w:rsid w:val="00755A4E"/>
    <w:rsid w:val="00755CA9"/>
    <w:rsid w:val="00756429"/>
    <w:rsid w:val="00761619"/>
    <w:rsid w:val="00761D29"/>
    <w:rsid w:val="00761FD7"/>
    <w:rsid w:val="00762BAD"/>
    <w:rsid w:val="007630AD"/>
    <w:rsid w:val="007637FA"/>
    <w:rsid w:val="007639F2"/>
    <w:rsid w:val="00763D20"/>
    <w:rsid w:val="00764222"/>
    <w:rsid w:val="007655A2"/>
    <w:rsid w:val="00765A48"/>
    <w:rsid w:val="00766B80"/>
    <w:rsid w:val="00766CE3"/>
    <w:rsid w:val="007673AA"/>
    <w:rsid w:val="0077024E"/>
    <w:rsid w:val="00770F56"/>
    <w:rsid w:val="00772163"/>
    <w:rsid w:val="0077343C"/>
    <w:rsid w:val="00774426"/>
    <w:rsid w:val="00774447"/>
    <w:rsid w:val="007747AB"/>
    <w:rsid w:val="007748C6"/>
    <w:rsid w:val="00774D3A"/>
    <w:rsid w:val="0077538E"/>
    <w:rsid w:val="0077568E"/>
    <w:rsid w:val="007808E7"/>
    <w:rsid w:val="00780F25"/>
    <w:rsid w:val="007829AC"/>
    <w:rsid w:val="00782AE4"/>
    <w:rsid w:val="007839AD"/>
    <w:rsid w:val="00784362"/>
    <w:rsid w:val="007860ED"/>
    <w:rsid w:val="00786189"/>
    <w:rsid w:val="007863AB"/>
    <w:rsid w:val="00786610"/>
    <w:rsid w:val="00787331"/>
    <w:rsid w:val="00790634"/>
    <w:rsid w:val="00791E74"/>
    <w:rsid w:val="0079312F"/>
    <w:rsid w:val="0079339D"/>
    <w:rsid w:val="00794A4A"/>
    <w:rsid w:val="00794B21"/>
    <w:rsid w:val="007951F0"/>
    <w:rsid w:val="00795334"/>
    <w:rsid w:val="00795C77"/>
    <w:rsid w:val="00795EE4"/>
    <w:rsid w:val="00795F55"/>
    <w:rsid w:val="0079657C"/>
    <w:rsid w:val="00797213"/>
    <w:rsid w:val="0079791E"/>
    <w:rsid w:val="007A0070"/>
    <w:rsid w:val="007A06B9"/>
    <w:rsid w:val="007A11B3"/>
    <w:rsid w:val="007A161E"/>
    <w:rsid w:val="007A1D64"/>
    <w:rsid w:val="007A32A9"/>
    <w:rsid w:val="007A3784"/>
    <w:rsid w:val="007A396C"/>
    <w:rsid w:val="007A47D1"/>
    <w:rsid w:val="007A7022"/>
    <w:rsid w:val="007B0457"/>
    <w:rsid w:val="007B1F22"/>
    <w:rsid w:val="007B228D"/>
    <w:rsid w:val="007B2EFE"/>
    <w:rsid w:val="007B3513"/>
    <w:rsid w:val="007B40D5"/>
    <w:rsid w:val="007B4139"/>
    <w:rsid w:val="007B416F"/>
    <w:rsid w:val="007B538F"/>
    <w:rsid w:val="007B5C0B"/>
    <w:rsid w:val="007B6391"/>
    <w:rsid w:val="007B78CB"/>
    <w:rsid w:val="007B7A62"/>
    <w:rsid w:val="007C09CA"/>
    <w:rsid w:val="007C0D53"/>
    <w:rsid w:val="007C0E09"/>
    <w:rsid w:val="007C2DD3"/>
    <w:rsid w:val="007C3D90"/>
    <w:rsid w:val="007C401E"/>
    <w:rsid w:val="007C4513"/>
    <w:rsid w:val="007C475B"/>
    <w:rsid w:val="007C7371"/>
    <w:rsid w:val="007C7A08"/>
    <w:rsid w:val="007D0547"/>
    <w:rsid w:val="007D2AB7"/>
    <w:rsid w:val="007D38E4"/>
    <w:rsid w:val="007D4ADF"/>
    <w:rsid w:val="007D5474"/>
    <w:rsid w:val="007D6720"/>
    <w:rsid w:val="007D6805"/>
    <w:rsid w:val="007D7127"/>
    <w:rsid w:val="007D74A9"/>
    <w:rsid w:val="007D7A52"/>
    <w:rsid w:val="007D7AF7"/>
    <w:rsid w:val="007E0CA3"/>
    <w:rsid w:val="007E2183"/>
    <w:rsid w:val="007E2350"/>
    <w:rsid w:val="007E2BA7"/>
    <w:rsid w:val="007E2E91"/>
    <w:rsid w:val="007E39C0"/>
    <w:rsid w:val="007E3A2F"/>
    <w:rsid w:val="007E7A16"/>
    <w:rsid w:val="007F0698"/>
    <w:rsid w:val="007F274D"/>
    <w:rsid w:val="007F3233"/>
    <w:rsid w:val="007F5C41"/>
    <w:rsid w:val="007F6872"/>
    <w:rsid w:val="007F6D60"/>
    <w:rsid w:val="007F7D8C"/>
    <w:rsid w:val="007F7D9F"/>
    <w:rsid w:val="00800793"/>
    <w:rsid w:val="008032E5"/>
    <w:rsid w:val="0080452C"/>
    <w:rsid w:val="00805BF5"/>
    <w:rsid w:val="0080680C"/>
    <w:rsid w:val="00806E19"/>
    <w:rsid w:val="00807226"/>
    <w:rsid w:val="008104DE"/>
    <w:rsid w:val="008107CE"/>
    <w:rsid w:val="008119E7"/>
    <w:rsid w:val="00811A6D"/>
    <w:rsid w:val="00811DBE"/>
    <w:rsid w:val="00813CF0"/>
    <w:rsid w:val="008150CB"/>
    <w:rsid w:val="008156D7"/>
    <w:rsid w:val="00815712"/>
    <w:rsid w:val="0081571C"/>
    <w:rsid w:val="00816E09"/>
    <w:rsid w:val="008173EA"/>
    <w:rsid w:val="0082012B"/>
    <w:rsid w:val="00820380"/>
    <w:rsid w:val="00822D25"/>
    <w:rsid w:val="00823B02"/>
    <w:rsid w:val="00823BE0"/>
    <w:rsid w:val="00825AE1"/>
    <w:rsid w:val="00826070"/>
    <w:rsid w:val="0082665D"/>
    <w:rsid w:val="0082716C"/>
    <w:rsid w:val="008274F9"/>
    <w:rsid w:val="0083014C"/>
    <w:rsid w:val="00831181"/>
    <w:rsid w:val="008319E2"/>
    <w:rsid w:val="00833110"/>
    <w:rsid w:val="00833D2C"/>
    <w:rsid w:val="0083415C"/>
    <w:rsid w:val="00834F12"/>
    <w:rsid w:val="0083557F"/>
    <w:rsid w:val="00835655"/>
    <w:rsid w:val="00835EF0"/>
    <w:rsid w:val="00836134"/>
    <w:rsid w:val="00836600"/>
    <w:rsid w:val="00836D66"/>
    <w:rsid w:val="0084054E"/>
    <w:rsid w:val="00840E93"/>
    <w:rsid w:val="0084297E"/>
    <w:rsid w:val="00843A37"/>
    <w:rsid w:val="00843B05"/>
    <w:rsid w:val="00844653"/>
    <w:rsid w:val="008446C5"/>
    <w:rsid w:val="00844950"/>
    <w:rsid w:val="00846B9C"/>
    <w:rsid w:val="00847569"/>
    <w:rsid w:val="00847993"/>
    <w:rsid w:val="00847D12"/>
    <w:rsid w:val="00847F9E"/>
    <w:rsid w:val="00851C64"/>
    <w:rsid w:val="008524E0"/>
    <w:rsid w:val="0085330D"/>
    <w:rsid w:val="00853760"/>
    <w:rsid w:val="0085426D"/>
    <w:rsid w:val="00854550"/>
    <w:rsid w:val="00854571"/>
    <w:rsid w:val="0085464A"/>
    <w:rsid w:val="00854E17"/>
    <w:rsid w:val="0085572D"/>
    <w:rsid w:val="00855981"/>
    <w:rsid w:val="00855995"/>
    <w:rsid w:val="00856466"/>
    <w:rsid w:val="00856C10"/>
    <w:rsid w:val="00856CA2"/>
    <w:rsid w:val="0085731D"/>
    <w:rsid w:val="00860465"/>
    <w:rsid w:val="00860BAE"/>
    <w:rsid w:val="008624BF"/>
    <w:rsid w:val="00862AAD"/>
    <w:rsid w:val="00863779"/>
    <w:rsid w:val="00863A73"/>
    <w:rsid w:val="00863BD6"/>
    <w:rsid w:val="00863CA2"/>
    <w:rsid w:val="0086417E"/>
    <w:rsid w:val="00864746"/>
    <w:rsid w:val="0086504D"/>
    <w:rsid w:val="00866215"/>
    <w:rsid w:val="00866AA9"/>
    <w:rsid w:val="00866C96"/>
    <w:rsid w:val="00866FB3"/>
    <w:rsid w:val="008674E8"/>
    <w:rsid w:val="0087173B"/>
    <w:rsid w:val="008742DB"/>
    <w:rsid w:val="008748C2"/>
    <w:rsid w:val="0087586E"/>
    <w:rsid w:val="0087651F"/>
    <w:rsid w:val="008774D5"/>
    <w:rsid w:val="008774E1"/>
    <w:rsid w:val="008811C5"/>
    <w:rsid w:val="00883533"/>
    <w:rsid w:val="0088366F"/>
    <w:rsid w:val="00883A04"/>
    <w:rsid w:val="008848AD"/>
    <w:rsid w:val="00884C0A"/>
    <w:rsid w:val="00885490"/>
    <w:rsid w:val="00885BED"/>
    <w:rsid w:val="00885EA7"/>
    <w:rsid w:val="008862C3"/>
    <w:rsid w:val="00886AEB"/>
    <w:rsid w:val="00886DB1"/>
    <w:rsid w:val="00887AD6"/>
    <w:rsid w:val="00890912"/>
    <w:rsid w:val="00890E1B"/>
    <w:rsid w:val="008931C9"/>
    <w:rsid w:val="00893808"/>
    <w:rsid w:val="00893CBA"/>
    <w:rsid w:val="008957E8"/>
    <w:rsid w:val="008965EB"/>
    <w:rsid w:val="008966C6"/>
    <w:rsid w:val="008A10A4"/>
    <w:rsid w:val="008A19EC"/>
    <w:rsid w:val="008A2293"/>
    <w:rsid w:val="008A52FB"/>
    <w:rsid w:val="008A5B87"/>
    <w:rsid w:val="008A5D08"/>
    <w:rsid w:val="008A6072"/>
    <w:rsid w:val="008A66C0"/>
    <w:rsid w:val="008A7F32"/>
    <w:rsid w:val="008B0146"/>
    <w:rsid w:val="008B0ABB"/>
    <w:rsid w:val="008B0D36"/>
    <w:rsid w:val="008B2460"/>
    <w:rsid w:val="008B2D57"/>
    <w:rsid w:val="008B3F1C"/>
    <w:rsid w:val="008B461F"/>
    <w:rsid w:val="008B5729"/>
    <w:rsid w:val="008B5B4D"/>
    <w:rsid w:val="008B6471"/>
    <w:rsid w:val="008B7DD8"/>
    <w:rsid w:val="008C0A2E"/>
    <w:rsid w:val="008C0BBD"/>
    <w:rsid w:val="008C14CC"/>
    <w:rsid w:val="008C161E"/>
    <w:rsid w:val="008C19E7"/>
    <w:rsid w:val="008C2899"/>
    <w:rsid w:val="008C3057"/>
    <w:rsid w:val="008C336E"/>
    <w:rsid w:val="008C3C15"/>
    <w:rsid w:val="008C3F6D"/>
    <w:rsid w:val="008C49AF"/>
    <w:rsid w:val="008C4ABC"/>
    <w:rsid w:val="008C4C73"/>
    <w:rsid w:val="008C5E71"/>
    <w:rsid w:val="008C62B4"/>
    <w:rsid w:val="008C6458"/>
    <w:rsid w:val="008C66D4"/>
    <w:rsid w:val="008C7345"/>
    <w:rsid w:val="008D0D7C"/>
    <w:rsid w:val="008D1F5B"/>
    <w:rsid w:val="008D382F"/>
    <w:rsid w:val="008D5818"/>
    <w:rsid w:val="008D7D0E"/>
    <w:rsid w:val="008E058D"/>
    <w:rsid w:val="008E0B2D"/>
    <w:rsid w:val="008E13C8"/>
    <w:rsid w:val="008E3744"/>
    <w:rsid w:val="008E37D4"/>
    <w:rsid w:val="008E3A4B"/>
    <w:rsid w:val="008E4115"/>
    <w:rsid w:val="008E5BE2"/>
    <w:rsid w:val="008E72AC"/>
    <w:rsid w:val="008F12E5"/>
    <w:rsid w:val="008F15A8"/>
    <w:rsid w:val="008F2665"/>
    <w:rsid w:val="008F4E3B"/>
    <w:rsid w:val="008F510F"/>
    <w:rsid w:val="008F594B"/>
    <w:rsid w:val="008F6FC8"/>
    <w:rsid w:val="00900232"/>
    <w:rsid w:val="0090103D"/>
    <w:rsid w:val="009018A7"/>
    <w:rsid w:val="009029B9"/>
    <w:rsid w:val="0090303F"/>
    <w:rsid w:val="009050C0"/>
    <w:rsid w:val="00905CC0"/>
    <w:rsid w:val="00905F6B"/>
    <w:rsid w:val="00906294"/>
    <w:rsid w:val="00906B01"/>
    <w:rsid w:val="00906CF5"/>
    <w:rsid w:val="00907A28"/>
    <w:rsid w:val="00907E2E"/>
    <w:rsid w:val="00910783"/>
    <w:rsid w:val="009112B0"/>
    <w:rsid w:val="0091186E"/>
    <w:rsid w:val="00912003"/>
    <w:rsid w:val="00913910"/>
    <w:rsid w:val="00913B09"/>
    <w:rsid w:val="00913B20"/>
    <w:rsid w:val="00914126"/>
    <w:rsid w:val="00914A2F"/>
    <w:rsid w:val="00914EBA"/>
    <w:rsid w:val="00915FAD"/>
    <w:rsid w:val="00916EC6"/>
    <w:rsid w:val="0092027A"/>
    <w:rsid w:val="0092410F"/>
    <w:rsid w:val="00925042"/>
    <w:rsid w:val="00925521"/>
    <w:rsid w:val="00925532"/>
    <w:rsid w:val="009255D7"/>
    <w:rsid w:val="00925C02"/>
    <w:rsid w:val="00926BF8"/>
    <w:rsid w:val="009277E9"/>
    <w:rsid w:val="00927951"/>
    <w:rsid w:val="00927A2B"/>
    <w:rsid w:val="009307A6"/>
    <w:rsid w:val="00931270"/>
    <w:rsid w:val="00934D12"/>
    <w:rsid w:val="00935E3C"/>
    <w:rsid w:val="00936092"/>
    <w:rsid w:val="009362B3"/>
    <w:rsid w:val="009364C6"/>
    <w:rsid w:val="00936C7F"/>
    <w:rsid w:val="009372C7"/>
    <w:rsid w:val="009372EB"/>
    <w:rsid w:val="009373ED"/>
    <w:rsid w:val="0094087A"/>
    <w:rsid w:val="00940F6A"/>
    <w:rsid w:val="00941F0D"/>
    <w:rsid w:val="009420C8"/>
    <w:rsid w:val="0094228C"/>
    <w:rsid w:val="009425DE"/>
    <w:rsid w:val="00942900"/>
    <w:rsid w:val="0094410B"/>
    <w:rsid w:val="0094431A"/>
    <w:rsid w:val="009444E6"/>
    <w:rsid w:val="00946392"/>
    <w:rsid w:val="00946AD8"/>
    <w:rsid w:val="00946E4F"/>
    <w:rsid w:val="0095053C"/>
    <w:rsid w:val="00952717"/>
    <w:rsid w:val="00953334"/>
    <w:rsid w:val="00953D8E"/>
    <w:rsid w:val="00954E29"/>
    <w:rsid w:val="00955B9A"/>
    <w:rsid w:val="00960799"/>
    <w:rsid w:val="00961D55"/>
    <w:rsid w:val="00962971"/>
    <w:rsid w:val="00962D9F"/>
    <w:rsid w:val="00962EBA"/>
    <w:rsid w:val="00963068"/>
    <w:rsid w:val="0096444F"/>
    <w:rsid w:val="00964933"/>
    <w:rsid w:val="00965F27"/>
    <w:rsid w:val="0096632B"/>
    <w:rsid w:val="009704A6"/>
    <w:rsid w:val="00971281"/>
    <w:rsid w:val="009728AE"/>
    <w:rsid w:val="00973DAD"/>
    <w:rsid w:val="0097412A"/>
    <w:rsid w:val="00974EB1"/>
    <w:rsid w:val="00977482"/>
    <w:rsid w:val="0097752E"/>
    <w:rsid w:val="00977F41"/>
    <w:rsid w:val="009801A9"/>
    <w:rsid w:val="00980681"/>
    <w:rsid w:val="009807C9"/>
    <w:rsid w:val="00980AAF"/>
    <w:rsid w:val="00980EC2"/>
    <w:rsid w:val="009814F4"/>
    <w:rsid w:val="00981790"/>
    <w:rsid w:val="00981F86"/>
    <w:rsid w:val="0098212B"/>
    <w:rsid w:val="009831EE"/>
    <w:rsid w:val="00985607"/>
    <w:rsid w:val="00986614"/>
    <w:rsid w:val="0098666E"/>
    <w:rsid w:val="00986A51"/>
    <w:rsid w:val="00990305"/>
    <w:rsid w:val="00990762"/>
    <w:rsid w:val="0099156C"/>
    <w:rsid w:val="00992232"/>
    <w:rsid w:val="009926A7"/>
    <w:rsid w:val="00993C4B"/>
    <w:rsid w:val="00993F6A"/>
    <w:rsid w:val="00995A49"/>
    <w:rsid w:val="00996131"/>
    <w:rsid w:val="009963DA"/>
    <w:rsid w:val="00996A6B"/>
    <w:rsid w:val="0099706A"/>
    <w:rsid w:val="00997079"/>
    <w:rsid w:val="009A08A8"/>
    <w:rsid w:val="009A1FEA"/>
    <w:rsid w:val="009A30F3"/>
    <w:rsid w:val="009A3335"/>
    <w:rsid w:val="009A34EA"/>
    <w:rsid w:val="009A4BFD"/>
    <w:rsid w:val="009A5BBE"/>
    <w:rsid w:val="009A5EF3"/>
    <w:rsid w:val="009A7F07"/>
    <w:rsid w:val="009B0324"/>
    <w:rsid w:val="009B08BF"/>
    <w:rsid w:val="009B2233"/>
    <w:rsid w:val="009B29A4"/>
    <w:rsid w:val="009B3440"/>
    <w:rsid w:val="009B36C9"/>
    <w:rsid w:val="009B4D47"/>
    <w:rsid w:val="009B6992"/>
    <w:rsid w:val="009B74B8"/>
    <w:rsid w:val="009C0C0D"/>
    <w:rsid w:val="009C119B"/>
    <w:rsid w:val="009C386C"/>
    <w:rsid w:val="009C51BC"/>
    <w:rsid w:val="009C6375"/>
    <w:rsid w:val="009C6647"/>
    <w:rsid w:val="009C691C"/>
    <w:rsid w:val="009C6F75"/>
    <w:rsid w:val="009C71D3"/>
    <w:rsid w:val="009C7A21"/>
    <w:rsid w:val="009C7F0C"/>
    <w:rsid w:val="009D13E8"/>
    <w:rsid w:val="009D338B"/>
    <w:rsid w:val="009D3E5F"/>
    <w:rsid w:val="009D4FA3"/>
    <w:rsid w:val="009D5B39"/>
    <w:rsid w:val="009D5D5D"/>
    <w:rsid w:val="009D6355"/>
    <w:rsid w:val="009D63FF"/>
    <w:rsid w:val="009D6749"/>
    <w:rsid w:val="009D6F8F"/>
    <w:rsid w:val="009E071E"/>
    <w:rsid w:val="009E1E00"/>
    <w:rsid w:val="009E2568"/>
    <w:rsid w:val="009E2892"/>
    <w:rsid w:val="009E2BBF"/>
    <w:rsid w:val="009E31C1"/>
    <w:rsid w:val="009E5061"/>
    <w:rsid w:val="009E5962"/>
    <w:rsid w:val="009E6913"/>
    <w:rsid w:val="009E7B42"/>
    <w:rsid w:val="009F0496"/>
    <w:rsid w:val="009F2239"/>
    <w:rsid w:val="009F292C"/>
    <w:rsid w:val="009F3C32"/>
    <w:rsid w:val="009F3C97"/>
    <w:rsid w:val="009F4583"/>
    <w:rsid w:val="009F56FF"/>
    <w:rsid w:val="009F5B7F"/>
    <w:rsid w:val="009F647C"/>
    <w:rsid w:val="00A0000B"/>
    <w:rsid w:val="00A00F74"/>
    <w:rsid w:val="00A0153A"/>
    <w:rsid w:val="00A017C0"/>
    <w:rsid w:val="00A01BB8"/>
    <w:rsid w:val="00A02B53"/>
    <w:rsid w:val="00A0307E"/>
    <w:rsid w:val="00A03E03"/>
    <w:rsid w:val="00A044E6"/>
    <w:rsid w:val="00A046EE"/>
    <w:rsid w:val="00A049AF"/>
    <w:rsid w:val="00A04DF1"/>
    <w:rsid w:val="00A060A5"/>
    <w:rsid w:val="00A06E84"/>
    <w:rsid w:val="00A078CB"/>
    <w:rsid w:val="00A1024F"/>
    <w:rsid w:val="00A10C2A"/>
    <w:rsid w:val="00A11BE7"/>
    <w:rsid w:val="00A12C0F"/>
    <w:rsid w:val="00A13D79"/>
    <w:rsid w:val="00A1421D"/>
    <w:rsid w:val="00A153F6"/>
    <w:rsid w:val="00A16199"/>
    <w:rsid w:val="00A16450"/>
    <w:rsid w:val="00A16612"/>
    <w:rsid w:val="00A200B7"/>
    <w:rsid w:val="00A2049F"/>
    <w:rsid w:val="00A204E3"/>
    <w:rsid w:val="00A208D8"/>
    <w:rsid w:val="00A2274F"/>
    <w:rsid w:val="00A22909"/>
    <w:rsid w:val="00A22918"/>
    <w:rsid w:val="00A230A2"/>
    <w:rsid w:val="00A23AAD"/>
    <w:rsid w:val="00A253F0"/>
    <w:rsid w:val="00A26D5E"/>
    <w:rsid w:val="00A27F76"/>
    <w:rsid w:val="00A3050D"/>
    <w:rsid w:val="00A305EF"/>
    <w:rsid w:val="00A30608"/>
    <w:rsid w:val="00A313C0"/>
    <w:rsid w:val="00A3140B"/>
    <w:rsid w:val="00A322A2"/>
    <w:rsid w:val="00A32ACE"/>
    <w:rsid w:val="00A32CF5"/>
    <w:rsid w:val="00A330F6"/>
    <w:rsid w:val="00A343B7"/>
    <w:rsid w:val="00A35B15"/>
    <w:rsid w:val="00A36611"/>
    <w:rsid w:val="00A40D81"/>
    <w:rsid w:val="00A41562"/>
    <w:rsid w:val="00A42863"/>
    <w:rsid w:val="00A42FD1"/>
    <w:rsid w:val="00A43408"/>
    <w:rsid w:val="00A448DD"/>
    <w:rsid w:val="00A44CBA"/>
    <w:rsid w:val="00A45A9F"/>
    <w:rsid w:val="00A4611E"/>
    <w:rsid w:val="00A4707D"/>
    <w:rsid w:val="00A4763C"/>
    <w:rsid w:val="00A47BB6"/>
    <w:rsid w:val="00A50952"/>
    <w:rsid w:val="00A530D1"/>
    <w:rsid w:val="00A53577"/>
    <w:rsid w:val="00A5399A"/>
    <w:rsid w:val="00A539C2"/>
    <w:rsid w:val="00A55554"/>
    <w:rsid w:val="00A55B74"/>
    <w:rsid w:val="00A571FE"/>
    <w:rsid w:val="00A60458"/>
    <w:rsid w:val="00A604BF"/>
    <w:rsid w:val="00A613E0"/>
    <w:rsid w:val="00A61FE4"/>
    <w:rsid w:val="00A622B0"/>
    <w:rsid w:val="00A623A6"/>
    <w:rsid w:val="00A62A57"/>
    <w:rsid w:val="00A62AC6"/>
    <w:rsid w:val="00A630E8"/>
    <w:rsid w:val="00A635D9"/>
    <w:rsid w:val="00A642B6"/>
    <w:rsid w:val="00A64303"/>
    <w:rsid w:val="00A64EB7"/>
    <w:rsid w:val="00A65CB3"/>
    <w:rsid w:val="00A6685A"/>
    <w:rsid w:val="00A66E83"/>
    <w:rsid w:val="00A70AF0"/>
    <w:rsid w:val="00A716BC"/>
    <w:rsid w:val="00A71E46"/>
    <w:rsid w:val="00A72840"/>
    <w:rsid w:val="00A730EC"/>
    <w:rsid w:val="00A745D4"/>
    <w:rsid w:val="00A75C46"/>
    <w:rsid w:val="00A75E58"/>
    <w:rsid w:val="00A76818"/>
    <w:rsid w:val="00A775D0"/>
    <w:rsid w:val="00A77CBB"/>
    <w:rsid w:val="00A818AB"/>
    <w:rsid w:val="00A82B83"/>
    <w:rsid w:val="00A843B8"/>
    <w:rsid w:val="00A84899"/>
    <w:rsid w:val="00A84F1D"/>
    <w:rsid w:val="00A859BA"/>
    <w:rsid w:val="00A862D8"/>
    <w:rsid w:val="00A8644E"/>
    <w:rsid w:val="00A8774D"/>
    <w:rsid w:val="00A905C9"/>
    <w:rsid w:val="00A90698"/>
    <w:rsid w:val="00A914AF"/>
    <w:rsid w:val="00A91B8F"/>
    <w:rsid w:val="00A91F24"/>
    <w:rsid w:val="00A92092"/>
    <w:rsid w:val="00A924B3"/>
    <w:rsid w:val="00A926B7"/>
    <w:rsid w:val="00A92E41"/>
    <w:rsid w:val="00A93082"/>
    <w:rsid w:val="00A938EF"/>
    <w:rsid w:val="00A94F07"/>
    <w:rsid w:val="00A94FD0"/>
    <w:rsid w:val="00A95FD0"/>
    <w:rsid w:val="00A96637"/>
    <w:rsid w:val="00A96AAB"/>
    <w:rsid w:val="00A96B56"/>
    <w:rsid w:val="00A975C2"/>
    <w:rsid w:val="00A97651"/>
    <w:rsid w:val="00AA0CFA"/>
    <w:rsid w:val="00AA0D6B"/>
    <w:rsid w:val="00AA3ECA"/>
    <w:rsid w:val="00AA50D2"/>
    <w:rsid w:val="00AA5982"/>
    <w:rsid w:val="00AA5B8D"/>
    <w:rsid w:val="00AA6178"/>
    <w:rsid w:val="00AA6B6E"/>
    <w:rsid w:val="00AA6F76"/>
    <w:rsid w:val="00AA7212"/>
    <w:rsid w:val="00AA76D1"/>
    <w:rsid w:val="00AB1ECF"/>
    <w:rsid w:val="00AB1F53"/>
    <w:rsid w:val="00AB2024"/>
    <w:rsid w:val="00AB2FF2"/>
    <w:rsid w:val="00AB4944"/>
    <w:rsid w:val="00AB62FE"/>
    <w:rsid w:val="00AB7061"/>
    <w:rsid w:val="00AC0927"/>
    <w:rsid w:val="00AC0F0C"/>
    <w:rsid w:val="00AC3840"/>
    <w:rsid w:val="00AC448F"/>
    <w:rsid w:val="00AD095F"/>
    <w:rsid w:val="00AD1925"/>
    <w:rsid w:val="00AD198C"/>
    <w:rsid w:val="00AD24F7"/>
    <w:rsid w:val="00AD2733"/>
    <w:rsid w:val="00AD32A4"/>
    <w:rsid w:val="00AD4C40"/>
    <w:rsid w:val="00AD64CF"/>
    <w:rsid w:val="00AD6A1C"/>
    <w:rsid w:val="00AD6B6E"/>
    <w:rsid w:val="00AD6CF4"/>
    <w:rsid w:val="00AD6E20"/>
    <w:rsid w:val="00AD75B5"/>
    <w:rsid w:val="00AE0051"/>
    <w:rsid w:val="00AE2400"/>
    <w:rsid w:val="00AE2B05"/>
    <w:rsid w:val="00AE3376"/>
    <w:rsid w:val="00AE3AB7"/>
    <w:rsid w:val="00AE403D"/>
    <w:rsid w:val="00AE443E"/>
    <w:rsid w:val="00AE489F"/>
    <w:rsid w:val="00AE51DB"/>
    <w:rsid w:val="00AE5F4B"/>
    <w:rsid w:val="00AE6694"/>
    <w:rsid w:val="00AF0033"/>
    <w:rsid w:val="00AF0042"/>
    <w:rsid w:val="00AF12C8"/>
    <w:rsid w:val="00AF1805"/>
    <w:rsid w:val="00AF2477"/>
    <w:rsid w:val="00AF26B6"/>
    <w:rsid w:val="00AF2893"/>
    <w:rsid w:val="00AF2AAA"/>
    <w:rsid w:val="00AF364D"/>
    <w:rsid w:val="00AF43B2"/>
    <w:rsid w:val="00AF4F8E"/>
    <w:rsid w:val="00AF52B4"/>
    <w:rsid w:val="00AF5309"/>
    <w:rsid w:val="00AF53DB"/>
    <w:rsid w:val="00AF6798"/>
    <w:rsid w:val="00B00A57"/>
    <w:rsid w:val="00B01479"/>
    <w:rsid w:val="00B02240"/>
    <w:rsid w:val="00B025A8"/>
    <w:rsid w:val="00B028A1"/>
    <w:rsid w:val="00B02EF4"/>
    <w:rsid w:val="00B03396"/>
    <w:rsid w:val="00B1000F"/>
    <w:rsid w:val="00B11C1F"/>
    <w:rsid w:val="00B126DE"/>
    <w:rsid w:val="00B126F3"/>
    <w:rsid w:val="00B12767"/>
    <w:rsid w:val="00B12AEA"/>
    <w:rsid w:val="00B1407C"/>
    <w:rsid w:val="00B14113"/>
    <w:rsid w:val="00B151EE"/>
    <w:rsid w:val="00B16E64"/>
    <w:rsid w:val="00B16FA7"/>
    <w:rsid w:val="00B170E9"/>
    <w:rsid w:val="00B17754"/>
    <w:rsid w:val="00B17C5E"/>
    <w:rsid w:val="00B2084D"/>
    <w:rsid w:val="00B20E8A"/>
    <w:rsid w:val="00B20FFA"/>
    <w:rsid w:val="00B238A3"/>
    <w:rsid w:val="00B240E1"/>
    <w:rsid w:val="00B254A9"/>
    <w:rsid w:val="00B262BD"/>
    <w:rsid w:val="00B264B2"/>
    <w:rsid w:val="00B26ABE"/>
    <w:rsid w:val="00B272C6"/>
    <w:rsid w:val="00B27D56"/>
    <w:rsid w:val="00B31574"/>
    <w:rsid w:val="00B31723"/>
    <w:rsid w:val="00B31937"/>
    <w:rsid w:val="00B31C93"/>
    <w:rsid w:val="00B321BB"/>
    <w:rsid w:val="00B32A47"/>
    <w:rsid w:val="00B3491A"/>
    <w:rsid w:val="00B34FBE"/>
    <w:rsid w:val="00B357BB"/>
    <w:rsid w:val="00B361EE"/>
    <w:rsid w:val="00B36AC7"/>
    <w:rsid w:val="00B36C38"/>
    <w:rsid w:val="00B375AC"/>
    <w:rsid w:val="00B3789A"/>
    <w:rsid w:val="00B4002D"/>
    <w:rsid w:val="00B401D9"/>
    <w:rsid w:val="00B407EE"/>
    <w:rsid w:val="00B42313"/>
    <w:rsid w:val="00B425B6"/>
    <w:rsid w:val="00B4270A"/>
    <w:rsid w:val="00B42EC0"/>
    <w:rsid w:val="00B45032"/>
    <w:rsid w:val="00B45850"/>
    <w:rsid w:val="00B46230"/>
    <w:rsid w:val="00B464A6"/>
    <w:rsid w:val="00B4732F"/>
    <w:rsid w:val="00B50294"/>
    <w:rsid w:val="00B5186B"/>
    <w:rsid w:val="00B51BBB"/>
    <w:rsid w:val="00B52106"/>
    <w:rsid w:val="00B52386"/>
    <w:rsid w:val="00B52590"/>
    <w:rsid w:val="00B53598"/>
    <w:rsid w:val="00B53D85"/>
    <w:rsid w:val="00B54340"/>
    <w:rsid w:val="00B55630"/>
    <w:rsid w:val="00B56603"/>
    <w:rsid w:val="00B56A1B"/>
    <w:rsid w:val="00B56AE8"/>
    <w:rsid w:val="00B57CCF"/>
    <w:rsid w:val="00B60F69"/>
    <w:rsid w:val="00B613A7"/>
    <w:rsid w:val="00B61910"/>
    <w:rsid w:val="00B61C67"/>
    <w:rsid w:val="00B61E0E"/>
    <w:rsid w:val="00B62C75"/>
    <w:rsid w:val="00B64A91"/>
    <w:rsid w:val="00B64CC6"/>
    <w:rsid w:val="00B64DAE"/>
    <w:rsid w:val="00B64F69"/>
    <w:rsid w:val="00B6625F"/>
    <w:rsid w:val="00B663B6"/>
    <w:rsid w:val="00B6793E"/>
    <w:rsid w:val="00B70C67"/>
    <w:rsid w:val="00B711B5"/>
    <w:rsid w:val="00B71488"/>
    <w:rsid w:val="00B71C92"/>
    <w:rsid w:val="00B724B3"/>
    <w:rsid w:val="00B73344"/>
    <w:rsid w:val="00B739E0"/>
    <w:rsid w:val="00B73E5A"/>
    <w:rsid w:val="00B7401C"/>
    <w:rsid w:val="00B74AF3"/>
    <w:rsid w:val="00B7598C"/>
    <w:rsid w:val="00B7613E"/>
    <w:rsid w:val="00B77556"/>
    <w:rsid w:val="00B808DD"/>
    <w:rsid w:val="00B813A9"/>
    <w:rsid w:val="00B81E6F"/>
    <w:rsid w:val="00B8205F"/>
    <w:rsid w:val="00B82319"/>
    <w:rsid w:val="00B82B61"/>
    <w:rsid w:val="00B82BBB"/>
    <w:rsid w:val="00B82C06"/>
    <w:rsid w:val="00B83551"/>
    <w:rsid w:val="00B86A77"/>
    <w:rsid w:val="00B8739A"/>
    <w:rsid w:val="00B87F24"/>
    <w:rsid w:val="00B903E4"/>
    <w:rsid w:val="00B90C22"/>
    <w:rsid w:val="00B91856"/>
    <w:rsid w:val="00B9261F"/>
    <w:rsid w:val="00B95174"/>
    <w:rsid w:val="00B961FB"/>
    <w:rsid w:val="00B9699F"/>
    <w:rsid w:val="00B97F68"/>
    <w:rsid w:val="00BA0466"/>
    <w:rsid w:val="00BA0B39"/>
    <w:rsid w:val="00BA2260"/>
    <w:rsid w:val="00BA2A46"/>
    <w:rsid w:val="00BA2EE2"/>
    <w:rsid w:val="00BA3902"/>
    <w:rsid w:val="00BA4065"/>
    <w:rsid w:val="00BA4075"/>
    <w:rsid w:val="00BA41CD"/>
    <w:rsid w:val="00BA4B15"/>
    <w:rsid w:val="00BA4E06"/>
    <w:rsid w:val="00BA6D6C"/>
    <w:rsid w:val="00BA6E8F"/>
    <w:rsid w:val="00BA6EED"/>
    <w:rsid w:val="00BA7542"/>
    <w:rsid w:val="00BB13FB"/>
    <w:rsid w:val="00BB3BB1"/>
    <w:rsid w:val="00BB44AE"/>
    <w:rsid w:val="00BB6FB9"/>
    <w:rsid w:val="00BB7E36"/>
    <w:rsid w:val="00BC05E9"/>
    <w:rsid w:val="00BC0DD5"/>
    <w:rsid w:val="00BC124D"/>
    <w:rsid w:val="00BC2598"/>
    <w:rsid w:val="00BC3547"/>
    <w:rsid w:val="00BC5434"/>
    <w:rsid w:val="00BC563A"/>
    <w:rsid w:val="00BC5951"/>
    <w:rsid w:val="00BC6713"/>
    <w:rsid w:val="00BC7BD8"/>
    <w:rsid w:val="00BC7D65"/>
    <w:rsid w:val="00BD0497"/>
    <w:rsid w:val="00BD0FCE"/>
    <w:rsid w:val="00BD13B9"/>
    <w:rsid w:val="00BD15EF"/>
    <w:rsid w:val="00BD20EA"/>
    <w:rsid w:val="00BD2414"/>
    <w:rsid w:val="00BD2565"/>
    <w:rsid w:val="00BD2A95"/>
    <w:rsid w:val="00BD3A04"/>
    <w:rsid w:val="00BD40EF"/>
    <w:rsid w:val="00BD4295"/>
    <w:rsid w:val="00BD461A"/>
    <w:rsid w:val="00BD4B7B"/>
    <w:rsid w:val="00BD5300"/>
    <w:rsid w:val="00BD659F"/>
    <w:rsid w:val="00BD6677"/>
    <w:rsid w:val="00BD68CA"/>
    <w:rsid w:val="00BD719D"/>
    <w:rsid w:val="00BE08C2"/>
    <w:rsid w:val="00BE0900"/>
    <w:rsid w:val="00BE2DE8"/>
    <w:rsid w:val="00BE3756"/>
    <w:rsid w:val="00BE3D8B"/>
    <w:rsid w:val="00BE530C"/>
    <w:rsid w:val="00BE7FE2"/>
    <w:rsid w:val="00BF0FFF"/>
    <w:rsid w:val="00BF2616"/>
    <w:rsid w:val="00BF29FA"/>
    <w:rsid w:val="00BF3078"/>
    <w:rsid w:val="00BF3605"/>
    <w:rsid w:val="00BF3812"/>
    <w:rsid w:val="00BF3CBA"/>
    <w:rsid w:val="00BF4C1D"/>
    <w:rsid w:val="00BF5D0E"/>
    <w:rsid w:val="00BF6FC5"/>
    <w:rsid w:val="00C018AF"/>
    <w:rsid w:val="00C01914"/>
    <w:rsid w:val="00C02C8D"/>
    <w:rsid w:val="00C044CA"/>
    <w:rsid w:val="00C04714"/>
    <w:rsid w:val="00C05DE7"/>
    <w:rsid w:val="00C06F4D"/>
    <w:rsid w:val="00C07E85"/>
    <w:rsid w:val="00C109B6"/>
    <w:rsid w:val="00C110B6"/>
    <w:rsid w:val="00C11436"/>
    <w:rsid w:val="00C1164D"/>
    <w:rsid w:val="00C11767"/>
    <w:rsid w:val="00C122DB"/>
    <w:rsid w:val="00C12663"/>
    <w:rsid w:val="00C130A3"/>
    <w:rsid w:val="00C13A06"/>
    <w:rsid w:val="00C1400E"/>
    <w:rsid w:val="00C14224"/>
    <w:rsid w:val="00C146D3"/>
    <w:rsid w:val="00C14BB6"/>
    <w:rsid w:val="00C14D94"/>
    <w:rsid w:val="00C1524F"/>
    <w:rsid w:val="00C158B8"/>
    <w:rsid w:val="00C15915"/>
    <w:rsid w:val="00C15D5A"/>
    <w:rsid w:val="00C163F0"/>
    <w:rsid w:val="00C167DD"/>
    <w:rsid w:val="00C16E4B"/>
    <w:rsid w:val="00C17002"/>
    <w:rsid w:val="00C17B68"/>
    <w:rsid w:val="00C20030"/>
    <w:rsid w:val="00C20078"/>
    <w:rsid w:val="00C2008D"/>
    <w:rsid w:val="00C21C5E"/>
    <w:rsid w:val="00C21F1C"/>
    <w:rsid w:val="00C2219E"/>
    <w:rsid w:val="00C23E15"/>
    <w:rsid w:val="00C242DC"/>
    <w:rsid w:val="00C2447F"/>
    <w:rsid w:val="00C2459F"/>
    <w:rsid w:val="00C24776"/>
    <w:rsid w:val="00C25CEC"/>
    <w:rsid w:val="00C26EED"/>
    <w:rsid w:val="00C27079"/>
    <w:rsid w:val="00C2788D"/>
    <w:rsid w:val="00C305B8"/>
    <w:rsid w:val="00C3097C"/>
    <w:rsid w:val="00C31ADF"/>
    <w:rsid w:val="00C323DB"/>
    <w:rsid w:val="00C33444"/>
    <w:rsid w:val="00C34064"/>
    <w:rsid w:val="00C34A06"/>
    <w:rsid w:val="00C352D2"/>
    <w:rsid w:val="00C37FAA"/>
    <w:rsid w:val="00C4318C"/>
    <w:rsid w:val="00C435F6"/>
    <w:rsid w:val="00C438D4"/>
    <w:rsid w:val="00C43B7A"/>
    <w:rsid w:val="00C43C97"/>
    <w:rsid w:val="00C44525"/>
    <w:rsid w:val="00C4497F"/>
    <w:rsid w:val="00C455E0"/>
    <w:rsid w:val="00C460AA"/>
    <w:rsid w:val="00C47CD1"/>
    <w:rsid w:val="00C50E30"/>
    <w:rsid w:val="00C520FE"/>
    <w:rsid w:val="00C52261"/>
    <w:rsid w:val="00C5391D"/>
    <w:rsid w:val="00C53E25"/>
    <w:rsid w:val="00C546D2"/>
    <w:rsid w:val="00C54E9C"/>
    <w:rsid w:val="00C551CE"/>
    <w:rsid w:val="00C5622B"/>
    <w:rsid w:val="00C56AAA"/>
    <w:rsid w:val="00C56B53"/>
    <w:rsid w:val="00C572BD"/>
    <w:rsid w:val="00C57499"/>
    <w:rsid w:val="00C60BB2"/>
    <w:rsid w:val="00C611D7"/>
    <w:rsid w:val="00C615A3"/>
    <w:rsid w:val="00C61CE6"/>
    <w:rsid w:val="00C61E9F"/>
    <w:rsid w:val="00C631E2"/>
    <w:rsid w:val="00C637B8"/>
    <w:rsid w:val="00C63B45"/>
    <w:rsid w:val="00C63CA7"/>
    <w:rsid w:val="00C642D0"/>
    <w:rsid w:val="00C653E9"/>
    <w:rsid w:val="00C65C28"/>
    <w:rsid w:val="00C662C8"/>
    <w:rsid w:val="00C6670F"/>
    <w:rsid w:val="00C66878"/>
    <w:rsid w:val="00C6724F"/>
    <w:rsid w:val="00C675DC"/>
    <w:rsid w:val="00C7039E"/>
    <w:rsid w:val="00C71136"/>
    <w:rsid w:val="00C73A01"/>
    <w:rsid w:val="00C73B7E"/>
    <w:rsid w:val="00C752C3"/>
    <w:rsid w:val="00C75546"/>
    <w:rsid w:val="00C81507"/>
    <w:rsid w:val="00C82244"/>
    <w:rsid w:val="00C82964"/>
    <w:rsid w:val="00C82CA2"/>
    <w:rsid w:val="00C84950"/>
    <w:rsid w:val="00C84A64"/>
    <w:rsid w:val="00C84C56"/>
    <w:rsid w:val="00C8618F"/>
    <w:rsid w:val="00C8632C"/>
    <w:rsid w:val="00C871A2"/>
    <w:rsid w:val="00C90EE5"/>
    <w:rsid w:val="00C91176"/>
    <w:rsid w:val="00C9145A"/>
    <w:rsid w:val="00C93329"/>
    <w:rsid w:val="00C9344B"/>
    <w:rsid w:val="00C93996"/>
    <w:rsid w:val="00C9469A"/>
    <w:rsid w:val="00C94AB2"/>
    <w:rsid w:val="00C9589B"/>
    <w:rsid w:val="00C95E64"/>
    <w:rsid w:val="00C95E8E"/>
    <w:rsid w:val="00C969E8"/>
    <w:rsid w:val="00C96FA4"/>
    <w:rsid w:val="00C97248"/>
    <w:rsid w:val="00C97C12"/>
    <w:rsid w:val="00C97CB2"/>
    <w:rsid w:val="00C97D17"/>
    <w:rsid w:val="00CA05D9"/>
    <w:rsid w:val="00CA0865"/>
    <w:rsid w:val="00CA1FFE"/>
    <w:rsid w:val="00CA32E2"/>
    <w:rsid w:val="00CA3C2E"/>
    <w:rsid w:val="00CA3EF4"/>
    <w:rsid w:val="00CA4DEC"/>
    <w:rsid w:val="00CA6298"/>
    <w:rsid w:val="00CA79BC"/>
    <w:rsid w:val="00CA7B55"/>
    <w:rsid w:val="00CB1403"/>
    <w:rsid w:val="00CB3732"/>
    <w:rsid w:val="00CB3D68"/>
    <w:rsid w:val="00CB48AB"/>
    <w:rsid w:val="00CB4F01"/>
    <w:rsid w:val="00CB57AA"/>
    <w:rsid w:val="00CB66DE"/>
    <w:rsid w:val="00CB7B53"/>
    <w:rsid w:val="00CB7E04"/>
    <w:rsid w:val="00CC06FD"/>
    <w:rsid w:val="00CC0FE7"/>
    <w:rsid w:val="00CC307B"/>
    <w:rsid w:val="00CC4F44"/>
    <w:rsid w:val="00CC52D7"/>
    <w:rsid w:val="00CC6826"/>
    <w:rsid w:val="00CD0BB0"/>
    <w:rsid w:val="00CD129D"/>
    <w:rsid w:val="00CD185C"/>
    <w:rsid w:val="00CD18E7"/>
    <w:rsid w:val="00CD1E5C"/>
    <w:rsid w:val="00CD260E"/>
    <w:rsid w:val="00CD563F"/>
    <w:rsid w:val="00CD5D4D"/>
    <w:rsid w:val="00CD5EE0"/>
    <w:rsid w:val="00CD62F4"/>
    <w:rsid w:val="00CD713C"/>
    <w:rsid w:val="00CD722C"/>
    <w:rsid w:val="00CD7A82"/>
    <w:rsid w:val="00CD844B"/>
    <w:rsid w:val="00CE026A"/>
    <w:rsid w:val="00CE169E"/>
    <w:rsid w:val="00CE2316"/>
    <w:rsid w:val="00CE3C7D"/>
    <w:rsid w:val="00CE3D08"/>
    <w:rsid w:val="00CE4C0E"/>
    <w:rsid w:val="00CE4E4E"/>
    <w:rsid w:val="00CE4F26"/>
    <w:rsid w:val="00CE56AF"/>
    <w:rsid w:val="00CE59A3"/>
    <w:rsid w:val="00CE5DF6"/>
    <w:rsid w:val="00CE7039"/>
    <w:rsid w:val="00CE73A3"/>
    <w:rsid w:val="00CE74C9"/>
    <w:rsid w:val="00CE784C"/>
    <w:rsid w:val="00CF00C9"/>
    <w:rsid w:val="00CF0A8D"/>
    <w:rsid w:val="00CF0DAF"/>
    <w:rsid w:val="00CF173E"/>
    <w:rsid w:val="00CF32A5"/>
    <w:rsid w:val="00CF4256"/>
    <w:rsid w:val="00CF785F"/>
    <w:rsid w:val="00D006C5"/>
    <w:rsid w:val="00D01855"/>
    <w:rsid w:val="00D02439"/>
    <w:rsid w:val="00D034CC"/>
    <w:rsid w:val="00D05F22"/>
    <w:rsid w:val="00D061BF"/>
    <w:rsid w:val="00D06CE7"/>
    <w:rsid w:val="00D06DB8"/>
    <w:rsid w:val="00D07BFE"/>
    <w:rsid w:val="00D106E9"/>
    <w:rsid w:val="00D11466"/>
    <w:rsid w:val="00D119D4"/>
    <w:rsid w:val="00D11AE0"/>
    <w:rsid w:val="00D1232E"/>
    <w:rsid w:val="00D128E6"/>
    <w:rsid w:val="00D12B49"/>
    <w:rsid w:val="00D12BEF"/>
    <w:rsid w:val="00D1426F"/>
    <w:rsid w:val="00D146B5"/>
    <w:rsid w:val="00D149EE"/>
    <w:rsid w:val="00D14A96"/>
    <w:rsid w:val="00D1528B"/>
    <w:rsid w:val="00D15600"/>
    <w:rsid w:val="00D1586E"/>
    <w:rsid w:val="00D15875"/>
    <w:rsid w:val="00D21145"/>
    <w:rsid w:val="00D215DA"/>
    <w:rsid w:val="00D218DC"/>
    <w:rsid w:val="00D21FE5"/>
    <w:rsid w:val="00D2201E"/>
    <w:rsid w:val="00D22FAF"/>
    <w:rsid w:val="00D23EF3"/>
    <w:rsid w:val="00D23FDA"/>
    <w:rsid w:val="00D24C20"/>
    <w:rsid w:val="00D24CBB"/>
    <w:rsid w:val="00D254A3"/>
    <w:rsid w:val="00D25BF6"/>
    <w:rsid w:val="00D25C76"/>
    <w:rsid w:val="00D25E54"/>
    <w:rsid w:val="00D26113"/>
    <w:rsid w:val="00D2766E"/>
    <w:rsid w:val="00D277CA"/>
    <w:rsid w:val="00D27A9B"/>
    <w:rsid w:val="00D30846"/>
    <w:rsid w:val="00D30CE7"/>
    <w:rsid w:val="00D32B90"/>
    <w:rsid w:val="00D333E3"/>
    <w:rsid w:val="00D334C7"/>
    <w:rsid w:val="00D336A8"/>
    <w:rsid w:val="00D33AF9"/>
    <w:rsid w:val="00D34AE5"/>
    <w:rsid w:val="00D35EAC"/>
    <w:rsid w:val="00D36987"/>
    <w:rsid w:val="00D37132"/>
    <w:rsid w:val="00D37190"/>
    <w:rsid w:val="00D3741F"/>
    <w:rsid w:val="00D378DE"/>
    <w:rsid w:val="00D37EF0"/>
    <w:rsid w:val="00D40674"/>
    <w:rsid w:val="00D4082A"/>
    <w:rsid w:val="00D41C82"/>
    <w:rsid w:val="00D42CB3"/>
    <w:rsid w:val="00D43A90"/>
    <w:rsid w:val="00D44187"/>
    <w:rsid w:val="00D443C6"/>
    <w:rsid w:val="00D449F5"/>
    <w:rsid w:val="00D44C7F"/>
    <w:rsid w:val="00D4510E"/>
    <w:rsid w:val="00D46450"/>
    <w:rsid w:val="00D46A1A"/>
    <w:rsid w:val="00D46B3F"/>
    <w:rsid w:val="00D46FE7"/>
    <w:rsid w:val="00D51F4D"/>
    <w:rsid w:val="00D52133"/>
    <w:rsid w:val="00D52A47"/>
    <w:rsid w:val="00D53B94"/>
    <w:rsid w:val="00D53BF2"/>
    <w:rsid w:val="00D53DF8"/>
    <w:rsid w:val="00D54072"/>
    <w:rsid w:val="00D5444D"/>
    <w:rsid w:val="00D54480"/>
    <w:rsid w:val="00D54640"/>
    <w:rsid w:val="00D54D60"/>
    <w:rsid w:val="00D5698D"/>
    <w:rsid w:val="00D572D2"/>
    <w:rsid w:val="00D60146"/>
    <w:rsid w:val="00D6026B"/>
    <w:rsid w:val="00D61031"/>
    <w:rsid w:val="00D61CD2"/>
    <w:rsid w:val="00D61D77"/>
    <w:rsid w:val="00D6333A"/>
    <w:rsid w:val="00D6333F"/>
    <w:rsid w:val="00D6352D"/>
    <w:rsid w:val="00D63CCA"/>
    <w:rsid w:val="00D64482"/>
    <w:rsid w:val="00D64E7C"/>
    <w:rsid w:val="00D65AF4"/>
    <w:rsid w:val="00D66651"/>
    <w:rsid w:val="00D66C86"/>
    <w:rsid w:val="00D673FE"/>
    <w:rsid w:val="00D70818"/>
    <w:rsid w:val="00D70C82"/>
    <w:rsid w:val="00D719E0"/>
    <w:rsid w:val="00D71AC4"/>
    <w:rsid w:val="00D71E7E"/>
    <w:rsid w:val="00D72A9E"/>
    <w:rsid w:val="00D73581"/>
    <w:rsid w:val="00D7395C"/>
    <w:rsid w:val="00D74687"/>
    <w:rsid w:val="00D7495B"/>
    <w:rsid w:val="00D7577B"/>
    <w:rsid w:val="00D763C2"/>
    <w:rsid w:val="00D76DA5"/>
    <w:rsid w:val="00D77EF7"/>
    <w:rsid w:val="00D77F1A"/>
    <w:rsid w:val="00D80EB4"/>
    <w:rsid w:val="00D80EFB"/>
    <w:rsid w:val="00D8102A"/>
    <w:rsid w:val="00D82353"/>
    <w:rsid w:val="00D827C3"/>
    <w:rsid w:val="00D82E64"/>
    <w:rsid w:val="00D83085"/>
    <w:rsid w:val="00D837CC"/>
    <w:rsid w:val="00D83931"/>
    <w:rsid w:val="00D83BFB"/>
    <w:rsid w:val="00D84C52"/>
    <w:rsid w:val="00D857E0"/>
    <w:rsid w:val="00D86994"/>
    <w:rsid w:val="00D877FE"/>
    <w:rsid w:val="00D92B26"/>
    <w:rsid w:val="00D937EE"/>
    <w:rsid w:val="00D93AD6"/>
    <w:rsid w:val="00D942F8"/>
    <w:rsid w:val="00D94F86"/>
    <w:rsid w:val="00D95A91"/>
    <w:rsid w:val="00D96138"/>
    <w:rsid w:val="00D97923"/>
    <w:rsid w:val="00DA04EB"/>
    <w:rsid w:val="00DA0A20"/>
    <w:rsid w:val="00DA277A"/>
    <w:rsid w:val="00DA48DA"/>
    <w:rsid w:val="00DA58F3"/>
    <w:rsid w:val="00DA6E38"/>
    <w:rsid w:val="00DA76C3"/>
    <w:rsid w:val="00DA7BF5"/>
    <w:rsid w:val="00DB10B0"/>
    <w:rsid w:val="00DB12E0"/>
    <w:rsid w:val="00DB2457"/>
    <w:rsid w:val="00DB29A0"/>
    <w:rsid w:val="00DB32CC"/>
    <w:rsid w:val="00DB332A"/>
    <w:rsid w:val="00DB37B6"/>
    <w:rsid w:val="00DB405F"/>
    <w:rsid w:val="00DB47AB"/>
    <w:rsid w:val="00DB6181"/>
    <w:rsid w:val="00DC001F"/>
    <w:rsid w:val="00DC04F0"/>
    <w:rsid w:val="00DC082E"/>
    <w:rsid w:val="00DC0B85"/>
    <w:rsid w:val="00DC1BA4"/>
    <w:rsid w:val="00DC1BC6"/>
    <w:rsid w:val="00DC1F40"/>
    <w:rsid w:val="00DC2763"/>
    <w:rsid w:val="00DC2CB5"/>
    <w:rsid w:val="00DC3931"/>
    <w:rsid w:val="00DC4A4E"/>
    <w:rsid w:val="00DC4C02"/>
    <w:rsid w:val="00DC52B4"/>
    <w:rsid w:val="00DC543B"/>
    <w:rsid w:val="00DC6585"/>
    <w:rsid w:val="00DC6CB1"/>
    <w:rsid w:val="00DC7042"/>
    <w:rsid w:val="00DC708F"/>
    <w:rsid w:val="00DC71AF"/>
    <w:rsid w:val="00DC71C4"/>
    <w:rsid w:val="00DC7AA4"/>
    <w:rsid w:val="00DC7C06"/>
    <w:rsid w:val="00DD029F"/>
    <w:rsid w:val="00DD0A72"/>
    <w:rsid w:val="00DD10AB"/>
    <w:rsid w:val="00DD15C7"/>
    <w:rsid w:val="00DD3404"/>
    <w:rsid w:val="00DD4B95"/>
    <w:rsid w:val="00DD5993"/>
    <w:rsid w:val="00DD6025"/>
    <w:rsid w:val="00DD61B6"/>
    <w:rsid w:val="00DE01B2"/>
    <w:rsid w:val="00DE0A72"/>
    <w:rsid w:val="00DE2D01"/>
    <w:rsid w:val="00DE36CA"/>
    <w:rsid w:val="00DE40B7"/>
    <w:rsid w:val="00DE4111"/>
    <w:rsid w:val="00DE496C"/>
    <w:rsid w:val="00DE4C8F"/>
    <w:rsid w:val="00DE4F01"/>
    <w:rsid w:val="00DE6640"/>
    <w:rsid w:val="00DE677E"/>
    <w:rsid w:val="00DE683A"/>
    <w:rsid w:val="00DE6FE8"/>
    <w:rsid w:val="00DE7C45"/>
    <w:rsid w:val="00DF04A7"/>
    <w:rsid w:val="00DF1412"/>
    <w:rsid w:val="00DF1930"/>
    <w:rsid w:val="00DF42C6"/>
    <w:rsid w:val="00DF4DCA"/>
    <w:rsid w:val="00DF5079"/>
    <w:rsid w:val="00DF5700"/>
    <w:rsid w:val="00DF709C"/>
    <w:rsid w:val="00E000E3"/>
    <w:rsid w:val="00E00D78"/>
    <w:rsid w:val="00E015E4"/>
    <w:rsid w:val="00E028C5"/>
    <w:rsid w:val="00E029C6"/>
    <w:rsid w:val="00E03F61"/>
    <w:rsid w:val="00E054C0"/>
    <w:rsid w:val="00E05845"/>
    <w:rsid w:val="00E07206"/>
    <w:rsid w:val="00E10E58"/>
    <w:rsid w:val="00E1104C"/>
    <w:rsid w:val="00E1117D"/>
    <w:rsid w:val="00E111E0"/>
    <w:rsid w:val="00E11B92"/>
    <w:rsid w:val="00E11F86"/>
    <w:rsid w:val="00E12FA8"/>
    <w:rsid w:val="00E131EE"/>
    <w:rsid w:val="00E132F3"/>
    <w:rsid w:val="00E147AB"/>
    <w:rsid w:val="00E15537"/>
    <w:rsid w:val="00E155E4"/>
    <w:rsid w:val="00E15E31"/>
    <w:rsid w:val="00E162C4"/>
    <w:rsid w:val="00E20339"/>
    <w:rsid w:val="00E20D74"/>
    <w:rsid w:val="00E212D5"/>
    <w:rsid w:val="00E21D6A"/>
    <w:rsid w:val="00E22C40"/>
    <w:rsid w:val="00E23C7D"/>
    <w:rsid w:val="00E2460D"/>
    <w:rsid w:val="00E24A1A"/>
    <w:rsid w:val="00E24AF7"/>
    <w:rsid w:val="00E255B0"/>
    <w:rsid w:val="00E25ED6"/>
    <w:rsid w:val="00E2631F"/>
    <w:rsid w:val="00E3035C"/>
    <w:rsid w:val="00E30550"/>
    <w:rsid w:val="00E30E10"/>
    <w:rsid w:val="00E31134"/>
    <w:rsid w:val="00E311D3"/>
    <w:rsid w:val="00E34270"/>
    <w:rsid w:val="00E35024"/>
    <w:rsid w:val="00E3521A"/>
    <w:rsid w:val="00E35289"/>
    <w:rsid w:val="00E359C0"/>
    <w:rsid w:val="00E35A35"/>
    <w:rsid w:val="00E36FEB"/>
    <w:rsid w:val="00E370C3"/>
    <w:rsid w:val="00E37284"/>
    <w:rsid w:val="00E37D1A"/>
    <w:rsid w:val="00E41342"/>
    <w:rsid w:val="00E43907"/>
    <w:rsid w:val="00E43AFD"/>
    <w:rsid w:val="00E43DEA"/>
    <w:rsid w:val="00E44524"/>
    <w:rsid w:val="00E44567"/>
    <w:rsid w:val="00E44761"/>
    <w:rsid w:val="00E45246"/>
    <w:rsid w:val="00E45FFC"/>
    <w:rsid w:val="00E473AD"/>
    <w:rsid w:val="00E474F3"/>
    <w:rsid w:val="00E50700"/>
    <w:rsid w:val="00E51C82"/>
    <w:rsid w:val="00E51FCE"/>
    <w:rsid w:val="00E53CB9"/>
    <w:rsid w:val="00E542F3"/>
    <w:rsid w:val="00E56796"/>
    <w:rsid w:val="00E57D4D"/>
    <w:rsid w:val="00E62551"/>
    <w:rsid w:val="00E627EC"/>
    <w:rsid w:val="00E6329A"/>
    <w:rsid w:val="00E632C3"/>
    <w:rsid w:val="00E64CF7"/>
    <w:rsid w:val="00E6575C"/>
    <w:rsid w:val="00E65844"/>
    <w:rsid w:val="00E66E92"/>
    <w:rsid w:val="00E7062A"/>
    <w:rsid w:val="00E70CA1"/>
    <w:rsid w:val="00E7291F"/>
    <w:rsid w:val="00E72A17"/>
    <w:rsid w:val="00E736D7"/>
    <w:rsid w:val="00E7376F"/>
    <w:rsid w:val="00E757BC"/>
    <w:rsid w:val="00E760B3"/>
    <w:rsid w:val="00E76125"/>
    <w:rsid w:val="00E76719"/>
    <w:rsid w:val="00E770A6"/>
    <w:rsid w:val="00E7793F"/>
    <w:rsid w:val="00E80464"/>
    <w:rsid w:val="00E81A5D"/>
    <w:rsid w:val="00E834C0"/>
    <w:rsid w:val="00E8377A"/>
    <w:rsid w:val="00E83789"/>
    <w:rsid w:val="00E839B1"/>
    <w:rsid w:val="00E8476B"/>
    <w:rsid w:val="00E8495C"/>
    <w:rsid w:val="00E858BA"/>
    <w:rsid w:val="00E8669E"/>
    <w:rsid w:val="00E8744F"/>
    <w:rsid w:val="00E90C0F"/>
    <w:rsid w:val="00E91C83"/>
    <w:rsid w:val="00E9216D"/>
    <w:rsid w:val="00E92569"/>
    <w:rsid w:val="00E94987"/>
    <w:rsid w:val="00E96C64"/>
    <w:rsid w:val="00E97D4A"/>
    <w:rsid w:val="00EA1C51"/>
    <w:rsid w:val="00EA2963"/>
    <w:rsid w:val="00EA2DBA"/>
    <w:rsid w:val="00EA3D47"/>
    <w:rsid w:val="00EA4FF8"/>
    <w:rsid w:val="00EA696D"/>
    <w:rsid w:val="00EA758D"/>
    <w:rsid w:val="00EB0D8F"/>
    <w:rsid w:val="00EB0F4C"/>
    <w:rsid w:val="00EB1713"/>
    <w:rsid w:val="00EB17B4"/>
    <w:rsid w:val="00EB1895"/>
    <w:rsid w:val="00EB1B23"/>
    <w:rsid w:val="00EB25E0"/>
    <w:rsid w:val="00EB2F8D"/>
    <w:rsid w:val="00EB34A7"/>
    <w:rsid w:val="00EB4175"/>
    <w:rsid w:val="00EB49BA"/>
    <w:rsid w:val="00EB4E21"/>
    <w:rsid w:val="00EB5532"/>
    <w:rsid w:val="00EB6BFE"/>
    <w:rsid w:val="00EB79EF"/>
    <w:rsid w:val="00EB7A40"/>
    <w:rsid w:val="00EC01EB"/>
    <w:rsid w:val="00EC08F3"/>
    <w:rsid w:val="00EC32CC"/>
    <w:rsid w:val="00EC38C0"/>
    <w:rsid w:val="00EC4F0C"/>
    <w:rsid w:val="00EC541E"/>
    <w:rsid w:val="00EC545D"/>
    <w:rsid w:val="00EC61EB"/>
    <w:rsid w:val="00ED06AF"/>
    <w:rsid w:val="00ED0A62"/>
    <w:rsid w:val="00ED12D7"/>
    <w:rsid w:val="00ED1B4A"/>
    <w:rsid w:val="00ED2129"/>
    <w:rsid w:val="00ED2438"/>
    <w:rsid w:val="00ED27A3"/>
    <w:rsid w:val="00ED35BC"/>
    <w:rsid w:val="00ED44A6"/>
    <w:rsid w:val="00ED44B6"/>
    <w:rsid w:val="00ED4ED8"/>
    <w:rsid w:val="00ED5D73"/>
    <w:rsid w:val="00ED69D3"/>
    <w:rsid w:val="00ED6F58"/>
    <w:rsid w:val="00ED7414"/>
    <w:rsid w:val="00ED7C97"/>
    <w:rsid w:val="00EE077A"/>
    <w:rsid w:val="00EE17E3"/>
    <w:rsid w:val="00EE30A9"/>
    <w:rsid w:val="00EE39D6"/>
    <w:rsid w:val="00EE4CF7"/>
    <w:rsid w:val="00EE544B"/>
    <w:rsid w:val="00EE6A0A"/>
    <w:rsid w:val="00EE7128"/>
    <w:rsid w:val="00EE747E"/>
    <w:rsid w:val="00EE78DE"/>
    <w:rsid w:val="00EF09C7"/>
    <w:rsid w:val="00EF2B77"/>
    <w:rsid w:val="00EF3550"/>
    <w:rsid w:val="00EF453D"/>
    <w:rsid w:val="00EF591C"/>
    <w:rsid w:val="00EF5B3F"/>
    <w:rsid w:val="00EF6C89"/>
    <w:rsid w:val="00EF6CA9"/>
    <w:rsid w:val="00F007CC"/>
    <w:rsid w:val="00F0113F"/>
    <w:rsid w:val="00F014A3"/>
    <w:rsid w:val="00F0243D"/>
    <w:rsid w:val="00F03DFA"/>
    <w:rsid w:val="00F055F1"/>
    <w:rsid w:val="00F05765"/>
    <w:rsid w:val="00F059E1"/>
    <w:rsid w:val="00F06897"/>
    <w:rsid w:val="00F07376"/>
    <w:rsid w:val="00F07511"/>
    <w:rsid w:val="00F076F0"/>
    <w:rsid w:val="00F07DEC"/>
    <w:rsid w:val="00F112A5"/>
    <w:rsid w:val="00F11543"/>
    <w:rsid w:val="00F124FD"/>
    <w:rsid w:val="00F127D5"/>
    <w:rsid w:val="00F13397"/>
    <w:rsid w:val="00F143C1"/>
    <w:rsid w:val="00F21700"/>
    <w:rsid w:val="00F21EE3"/>
    <w:rsid w:val="00F2289C"/>
    <w:rsid w:val="00F22B6C"/>
    <w:rsid w:val="00F23369"/>
    <w:rsid w:val="00F24036"/>
    <w:rsid w:val="00F247A7"/>
    <w:rsid w:val="00F24822"/>
    <w:rsid w:val="00F24864"/>
    <w:rsid w:val="00F25464"/>
    <w:rsid w:val="00F259B1"/>
    <w:rsid w:val="00F26B6A"/>
    <w:rsid w:val="00F26BE7"/>
    <w:rsid w:val="00F26BEF"/>
    <w:rsid w:val="00F272E7"/>
    <w:rsid w:val="00F30C5E"/>
    <w:rsid w:val="00F3179A"/>
    <w:rsid w:val="00F330D1"/>
    <w:rsid w:val="00F33A8E"/>
    <w:rsid w:val="00F3467A"/>
    <w:rsid w:val="00F348B4"/>
    <w:rsid w:val="00F34E20"/>
    <w:rsid w:val="00F3511F"/>
    <w:rsid w:val="00F35846"/>
    <w:rsid w:val="00F367A4"/>
    <w:rsid w:val="00F41E29"/>
    <w:rsid w:val="00F422FB"/>
    <w:rsid w:val="00F4310B"/>
    <w:rsid w:val="00F438E7"/>
    <w:rsid w:val="00F443AE"/>
    <w:rsid w:val="00F4481E"/>
    <w:rsid w:val="00F46D31"/>
    <w:rsid w:val="00F476D4"/>
    <w:rsid w:val="00F47A40"/>
    <w:rsid w:val="00F52481"/>
    <w:rsid w:val="00F527EE"/>
    <w:rsid w:val="00F52DDE"/>
    <w:rsid w:val="00F56C31"/>
    <w:rsid w:val="00F56EED"/>
    <w:rsid w:val="00F57388"/>
    <w:rsid w:val="00F579FF"/>
    <w:rsid w:val="00F61285"/>
    <w:rsid w:val="00F614FD"/>
    <w:rsid w:val="00F6228C"/>
    <w:rsid w:val="00F6239C"/>
    <w:rsid w:val="00F62922"/>
    <w:rsid w:val="00F62F15"/>
    <w:rsid w:val="00F6301C"/>
    <w:rsid w:val="00F64883"/>
    <w:rsid w:val="00F652E4"/>
    <w:rsid w:val="00F65D90"/>
    <w:rsid w:val="00F66EB2"/>
    <w:rsid w:val="00F6721B"/>
    <w:rsid w:val="00F67668"/>
    <w:rsid w:val="00F7057B"/>
    <w:rsid w:val="00F706E4"/>
    <w:rsid w:val="00F71423"/>
    <w:rsid w:val="00F7190E"/>
    <w:rsid w:val="00F74F1B"/>
    <w:rsid w:val="00F7570B"/>
    <w:rsid w:val="00F75715"/>
    <w:rsid w:val="00F75E8D"/>
    <w:rsid w:val="00F7619B"/>
    <w:rsid w:val="00F772AF"/>
    <w:rsid w:val="00F81865"/>
    <w:rsid w:val="00F823F3"/>
    <w:rsid w:val="00F829EA"/>
    <w:rsid w:val="00F84AB6"/>
    <w:rsid w:val="00F851D8"/>
    <w:rsid w:val="00F85961"/>
    <w:rsid w:val="00F85A49"/>
    <w:rsid w:val="00F86795"/>
    <w:rsid w:val="00F86805"/>
    <w:rsid w:val="00F86A4F"/>
    <w:rsid w:val="00F8786E"/>
    <w:rsid w:val="00F90524"/>
    <w:rsid w:val="00F92157"/>
    <w:rsid w:val="00F93E65"/>
    <w:rsid w:val="00F94140"/>
    <w:rsid w:val="00F94992"/>
    <w:rsid w:val="00F94AE8"/>
    <w:rsid w:val="00F96509"/>
    <w:rsid w:val="00F965A6"/>
    <w:rsid w:val="00F9662B"/>
    <w:rsid w:val="00F971E0"/>
    <w:rsid w:val="00FA00DD"/>
    <w:rsid w:val="00FA16E3"/>
    <w:rsid w:val="00FA18C8"/>
    <w:rsid w:val="00FA2091"/>
    <w:rsid w:val="00FA2389"/>
    <w:rsid w:val="00FA2576"/>
    <w:rsid w:val="00FA33F0"/>
    <w:rsid w:val="00FA3479"/>
    <w:rsid w:val="00FA4B36"/>
    <w:rsid w:val="00FA77B7"/>
    <w:rsid w:val="00FB010F"/>
    <w:rsid w:val="00FB05AB"/>
    <w:rsid w:val="00FB1734"/>
    <w:rsid w:val="00FB1FD3"/>
    <w:rsid w:val="00FB48DB"/>
    <w:rsid w:val="00FB4FCC"/>
    <w:rsid w:val="00FB64FF"/>
    <w:rsid w:val="00FB67B1"/>
    <w:rsid w:val="00FB7556"/>
    <w:rsid w:val="00FB7662"/>
    <w:rsid w:val="00FB77E2"/>
    <w:rsid w:val="00FC2605"/>
    <w:rsid w:val="00FC4332"/>
    <w:rsid w:val="00FC718D"/>
    <w:rsid w:val="00FC732D"/>
    <w:rsid w:val="00FD0C41"/>
    <w:rsid w:val="00FD0E11"/>
    <w:rsid w:val="00FD0F11"/>
    <w:rsid w:val="00FD3105"/>
    <w:rsid w:val="00FD347B"/>
    <w:rsid w:val="00FD36E0"/>
    <w:rsid w:val="00FD4B45"/>
    <w:rsid w:val="00FD67C7"/>
    <w:rsid w:val="00FD730D"/>
    <w:rsid w:val="00FD746D"/>
    <w:rsid w:val="00FD74C8"/>
    <w:rsid w:val="00FE0D3C"/>
    <w:rsid w:val="00FE11B7"/>
    <w:rsid w:val="00FE2B24"/>
    <w:rsid w:val="00FE4BC5"/>
    <w:rsid w:val="00FE51B5"/>
    <w:rsid w:val="00FE53C2"/>
    <w:rsid w:val="00FE5C50"/>
    <w:rsid w:val="00FE614D"/>
    <w:rsid w:val="00FE63E8"/>
    <w:rsid w:val="00FE6C0A"/>
    <w:rsid w:val="00FE7CBC"/>
    <w:rsid w:val="00FF0609"/>
    <w:rsid w:val="00FF082B"/>
    <w:rsid w:val="00FF0D69"/>
    <w:rsid w:val="00FF197E"/>
    <w:rsid w:val="00FF29BE"/>
    <w:rsid w:val="00FF3124"/>
    <w:rsid w:val="00FF3909"/>
    <w:rsid w:val="00FF3C58"/>
    <w:rsid w:val="00FF4464"/>
    <w:rsid w:val="00FF4EA5"/>
    <w:rsid w:val="00FF571C"/>
    <w:rsid w:val="00FF5730"/>
    <w:rsid w:val="00FF5A20"/>
    <w:rsid w:val="00FF5B70"/>
    <w:rsid w:val="00FF7035"/>
    <w:rsid w:val="01112D90"/>
    <w:rsid w:val="011B8D16"/>
    <w:rsid w:val="012F3935"/>
    <w:rsid w:val="0148B565"/>
    <w:rsid w:val="01FA653B"/>
    <w:rsid w:val="025C1AE9"/>
    <w:rsid w:val="0284105B"/>
    <w:rsid w:val="029DFAF1"/>
    <w:rsid w:val="02AFE634"/>
    <w:rsid w:val="02D088DA"/>
    <w:rsid w:val="030F3E60"/>
    <w:rsid w:val="03145C4D"/>
    <w:rsid w:val="035F2B08"/>
    <w:rsid w:val="03A230B9"/>
    <w:rsid w:val="03A5AA2C"/>
    <w:rsid w:val="03AFABD7"/>
    <w:rsid w:val="03B202BA"/>
    <w:rsid w:val="03DA6A44"/>
    <w:rsid w:val="03F1ABED"/>
    <w:rsid w:val="03FE9A4B"/>
    <w:rsid w:val="045713F7"/>
    <w:rsid w:val="04736E31"/>
    <w:rsid w:val="04824DA3"/>
    <w:rsid w:val="049FAF53"/>
    <w:rsid w:val="04C3BAE2"/>
    <w:rsid w:val="04FA893E"/>
    <w:rsid w:val="0505F602"/>
    <w:rsid w:val="055788DA"/>
    <w:rsid w:val="058465FF"/>
    <w:rsid w:val="05A81C97"/>
    <w:rsid w:val="06EBA3DE"/>
    <w:rsid w:val="06F78505"/>
    <w:rsid w:val="07265A31"/>
    <w:rsid w:val="077C4B1D"/>
    <w:rsid w:val="078EB77B"/>
    <w:rsid w:val="079B96D1"/>
    <w:rsid w:val="07B09B25"/>
    <w:rsid w:val="08118C87"/>
    <w:rsid w:val="0833A364"/>
    <w:rsid w:val="084E5A70"/>
    <w:rsid w:val="086CBD31"/>
    <w:rsid w:val="0923AD95"/>
    <w:rsid w:val="09B0AC46"/>
    <w:rsid w:val="0A439E9A"/>
    <w:rsid w:val="0B17CDDD"/>
    <w:rsid w:val="0B2EAF45"/>
    <w:rsid w:val="0B70C230"/>
    <w:rsid w:val="0B7CE0A2"/>
    <w:rsid w:val="0BB83991"/>
    <w:rsid w:val="0BBE2234"/>
    <w:rsid w:val="0BC40492"/>
    <w:rsid w:val="0C1FDF46"/>
    <w:rsid w:val="0C29DC3C"/>
    <w:rsid w:val="0CBF988E"/>
    <w:rsid w:val="0CC9BF83"/>
    <w:rsid w:val="0CFE1208"/>
    <w:rsid w:val="0D1C3755"/>
    <w:rsid w:val="0D87D2C7"/>
    <w:rsid w:val="0DB32383"/>
    <w:rsid w:val="0E609BFA"/>
    <w:rsid w:val="0E85443B"/>
    <w:rsid w:val="0E8FC80F"/>
    <w:rsid w:val="0E9ABF7D"/>
    <w:rsid w:val="0EAC2132"/>
    <w:rsid w:val="0F0A2EAB"/>
    <w:rsid w:val="0F68661E"/>
    <w:rsid w:val="0FF6D6B0"/>
    <w:rsid w:val="103CE6D4"/>
    <w:rsid w:val="104635E1"/>
    <w:rsid w:val="107855DD"/>
    <w:rsid w:val="10A7865B"/>
    <w:rsid w:val="111A4357"/>
    <w:rsid w:val="111B0695"/>
    <w:rsid w:val="119764C0"/>
    <w:rsid w:val="11A3CF18"/>
    <w:rsid w:val="11AF0584"/>
    <w:rsid w:val="11C7908F"/>
    <w:rsid w:val="11D98FBB"/>
    <w:rsid w:val="1214EE4D"/>
    <w:rsid w:val="1231D921"/>
    <w:rsid w:val="12948A95"/>
    <w:rsid w:val="1297889F"/>
    <w:rsid w:val="129982F4"/>
    <w:rsid w:val="12A65E58"/>
    <w:rsid w:val="136B5850"/>
    <w:rsid w:val="13D3FDC3"/>
    <w:rsid w:val="13F649F6"/>
    <w:rsid w:val="143066A7"/>
    <w:rsid w:val="15B267F0"/>
    <w:rsid w:val="15BFCD2E"/>
    <w:rsid w:val="15CED49D"/>
    <w:rsid w:val="15E48BC2"/>
    <w:rsid w:val="16272ECA"/>
    <w:rsid w:val="162A8308"/>
    <w:rsid w:val="1658B941"/>
    <w:rsid w:val="1710994A"/>
    <w:rsid w:val="17994D56"/>
    <w:rsid w:val="1834506A"/>
    <w:rsid w:val="1843A830"/>
    <w:rsid w:val="184BD477"/>
    <w:rsid w:val="18C7375B"/>
    <w:rsid w:val="194188F4"/>
    <w:rsid w:val="195783BE"/>
    <w:rsid w:val="19B233D8"/>
    <w:rsid w:val="19F27724"/>
    <w:rsid w:val="19F65AF4"/>
    <w:rsid w:val="1A40250B"/>
    <w:rsid w:val="1A85EAFD"/>
    <w:rsid w:val="1AB45F4A"/>
    <w:rsid w:val="1B054BD6"/>
    <w:rsid w:val="1B06BD82"/>
    <w:rsid w:val="1B2007F9"/>
    <w:rsid w:val="1B2BBAD0"/>
    <w:rsid w:val="1B369D5E"/>
    <w:rsid w:val="1BAFB6B4"/>
    <w:rsid w:val="1BC07675"/>
    <w:rsid w:val="1BC95FC0"/>
    <w:rsid w:val="1BCCAA9D"/>
    <w:rsid w:val="1C1904BD"/>
    <w:rsid w:val="1C4A39AB"/>
    <w:rsid w:val="1C5321BD"/>
    <w:rsid w:val="1C563ACF"/>
    <w:rsid w:val="1C86ECA4"/>
    <w:rsid w:val="1CB0C395"/>
    <w:rsid w:val="1CDD5ADC"/>
    <w:rsid w:val="1CEE9210"/>
    <w:rsid w:val="1D42AF56"/>
    <w:rsid w:val="1F3BFA54"/>
    <w:rsid w:val="1F53BB96"/>
    <w:rsid w:val="1F7E1A02"/>
    <w:rsid w:val="1F9226A5"/>
    <w:rsid w:val="1FFB9758"/>
    <w:rsid w:val="1FFDCB92"/>
    <w:rsid w:val="2007B110"/>
    <w:rsid w:val="2051C54F"/>
    <w:rsid w:val="206AE3D7"/>
    <w:rsid w:val="208AB1AF"/>
    <w:rsid w:val="20BE5616"/>
    <w:rsid w:val="210292BA"/>
    <w:rsid w:val="21133B6D"/>
    <w:rsid w:val="211E8C90"/>
    <w:rsid w:val="21C01533"/>
    <w:rsid w:val="21DD01F5"/>
    <w:rsid w:val="22B2E51B"/>
    <w:rsid w:val="22C130E8"/>
    <w:rsid w:val="22E699DA"/>
    <w:rsid w:val="22F51143"/>
    <w:rsid w:val="234DC129"/>
    <w:rsid w:val="23A0DD16"/>
    <w:rsid w:val="23B089A7"/>
    <w:rsid w:val="23C044FF"/>
    <w:rsid w:val="23E93C10"/>
    <w:rsid w:val="2405E6E3"/>
    <w:rsid w:val="2447EC39"/>
    <w:rsid w:val="246518FF"/>
    <w:rsid w:val="2467B104"/>
    <w:rsid w:val="2482F50D"/>
    <w:rsid w:val="249D3192"/>
    <w:rsid w:val="24AA690F"/>
    <w:rsid w:val="250DA976"/>
    <w:rsid w:val="25397434"/>
    <w:rsid w:val="25647E93"/>
    <w:rsid w:val="2597D6A9"/>
    <w:rsid w:val="25A02782"/>
    <w:rsid w:val="25EECF2D"/>
    <w:rsid w:val="26292409"/>
    <w:rsid w:val="2674E6C0"/>
    <w:rsid w:val="267BDCB3"/>
    <w:rsid w:val="277F27AA"/>
    <w:rsid w:val="27DF92E0"/>
    <w:rsid w:val="27E747E7"/>
    <w:rsid w:val="28057C18"/>
    <w:rsid w:val="2821BF39"/>
    <w:rsid w:val="28472A9D"/>
    <w:rsid w:val="2868BA83"/>
    <w:rsid w:val="288A95EB"/>
    <w:rsid w:val="28D84E39"/>
    <w:rsid w:val="28ED389D"/>
    <w:rsid w:val="28F624AC"/>
    <w:rsid w:val="29128EC0"/>
    <w:rsid w:val="293CF300"/>
    <w:rsid w:val="295464B0"/>
    <w:rsid w:val="2971DCF0"/>
    <w:rsid w:val="2A12C0A7"/>
    <w:rsid w:val="2A2D4ABB"/>
    <w:rsid w:val="2A4C1825"/>
    <w:rsid w:val="2A5261E7"/>
    <w:rsid w:val="2A5B0B2E"/>
    <w:rsid w:val="2A74A612"/>
    <w:rsid w:val="2A7BCD10"/>
    <w:rsid w:val="2A833DB0"/>
    <w:rsid w:val="2AEF6F23"/>
    <w:rsid w:val="2B3003D3"/>
    <w:rsid w:val="2B52D0C6"/>
    <w:rsid w:val="2B64EF3B"/>
    <w:rsid w:val="2B694D0F"/>
    <w:rsid w:val="2BCA124B"/>
    <w:rsid w:val="2C0C8E24"/>
    <w:rsid w:val="2C26CF31"/>
    <w:rsid w:val="2C3E6B7C"/>
    <w:rsid w:val="2C5ABD26"/>
    <w:rsid w:val="2C62842E"/>
    <w:rsid w:val="2C912DAC"/>
    <w:rsid w:val="2CA89A6D"/>
    <w:rsid w:val="2D35722D"/>
    <w:rsid w:val="2D55C879"/>
    <w:rsid w:val="2DF41AB8"/>
    <w:rsid w:val="2DFCF9ED"/>
    <w:rsid w:val="2E030F0D"/>
    <w:rsid w:val="2E0A1791"/>
    <w:rsid w:val="2E0CA3D5"/>
    <w:rsid w:val="2E2D7FFD"/>
    <w:rsid w:val="2E510CBD"/>
    <w:rsid w:val="2E527628"/>
    <w:rsid w:val="2EC90B02"/>
    <w:rsid w:val="2F061161"/>
    <w:rsid w:val="2F0CA3F5"/>
    <w:rsid w:val="2F3F29E8"/>
    <w:rsid w:val="2F6FC46C"/>
    <w:rsid w:val="2FBF6D7D"/>
    <w:rsid w:val="30547438"/>
    <w:rsid w:val="305A7B84"/>
    <w:rsid w:val="30C0A397"/>
    <w:rsid w:val="30F7ACBA"/>
    <w:rsid w:val="3181F0C0"/>
    <w:rsid w:val="31B8CA3C"/>
    <w:rsid w:val="3227A555"/>
    <w:rsid w:val="323E0BC7"/>
    <w:rsid w:val="32679C4B"/>
    <w:rsid w:val="32B0B6DC"/>
    <w:rsid w:val="32B33D35"/>
    <w:rsid w:val="3333298A"/>
    <w:rsid w:val="34F3FB20"/>
    <w:rsid w:val="34FE8602"/>
    <w:rsid w:val="350CBD04"/>
    <w:rsid w:val="351F46C6"/>
    <w:rsid w:val="35F46430"/>
    <w:rsid w:val="365A28B0"/>
    <w:rsid w:val="367FA4A7"/>
    <w:rsid w:val="36B8A94F"/>
    <w:rsid w:val="36C417B0"/>
    <w:rsid w:val="36D4F6BA"/>
    <w:rsid w:val="37161765"/>
    <w:rsid w:val="377D415F"/>
    <w:rsid w:val="3816A687"/>
    <w:rsid w:val="383CBE73"/>
    <w:rsid w:val="3853C11A"/>
    <w:rsid w:val="386B0E31"/>
    <w:rsid w:val="38A7F0D5"/>
    <w:rsid w:val="38D8AD2B"/>
    <w:rsid w:val="391ACA75"/>
    <w:rsid w:val="393D9068"/>
    <w:rsid w:val="396DE04F"/>
    <w:rsid w:val="399586E7"/>
    <w:rsid w:val="399B914E"/>
    <w:rsid w:val="39AC64FB"/>
    <w:rsid w:val="3ABCB888"/>
    <w:rsid w:val="3ADDFA10"/>
    <w:rsid w:val="3B74A288"/>
    <w:rsid w:val="3B87689E"/>
    <w:rsid w:val="3C88753B"/>
    <w:rsid w:val="3CEBFED7"/>
    <w:rsid w:val="3D40EA64"/>
    <w:rsid w:val="3DC13E83"/>
    <w:rsid w:val="3DE6726B"/>
    <w:rsid w:val="3DF276A2"/>
    <w:rsid w:val="3E09E018"/>
    <w:rsid w:val="3E292276"/>
    <w:rsid w:val="3EE1EF2B"/>
    <w:rsid w:val="3F368E4F"/>
    <w:rsid w:val="3F59ED8E"/>
    <w:rsid w:val="3FE5175D"/>
    <w:rsid w:val="403182AE"/>
    <w:rsid w:val="40811910"/>
    <w:rsid w:val="408EB017"/>
    <w:rsid w:val="40A55218"/>
    <w:rsid w:val="40D986E6"/>
    <w:rsid w:val="40EAFC96"/>
    <w:rsid w:val="40FAAB48"/>
    <w:rsid w:val="41133146"/>
    <w:rsid w:val="416253B7"/>
    <w:rsid w:val="41723B44"/>
    <w:rsid w:val="419133D8"/>
    <w:rsid w:val="41A6BFF9"/>
    <w:rsid w:val="41A77E3D"/>
    <w:rsid w:val="41B54AC2"/>
    <w:rsid w:val="42492751"/>
    <w:rsid w:val="42560D8F"/>
    <w:rsid w:val="427CEB47"/>
    <w:rsid w:val="428CB400"/>
    <w:rsid w:val="428DF3D0"/>
    <w:rsid w:val="4297C82E"/>
    <w:rsid w:val="42FC5198"/>
    <w:rsid w:val="434A6FA2"/>
    <w:rsid w:val="435D805C"/>
    <w:rsid w:val="439167E9"/>
    <w:rsid w:val="43D6AB23"/>
    <w:rsid w:val="441D3015"/>
    <w:rsid w:val="442A6A74"/>
    <w:rsid w:val="4433A826"/>
    <w:rsid w:val="44C09EA5"/>
    <w:rsid w:val="44DB05F5"/>
    <w:rsid w:val="452119BA"/>
    <w:rsid w:val="454F4072"/>
    <w:rsid w:val="458CE6E0"/>
    <w:rsid w:val="459EAEAA"/>
    <w:rsid w:val="45AF5E4C"/>
    <w:rsid w:val="460DE403"/>
    <w:rsid w:val="46428F63"/>
    <w:rsid w:val="465ABC9D"/>
    <w:rsid w:val="46892BC4"/>
    <w:rsid w:val="46B7F386"/>
    <w:rsid w:val="47367351"/>
    <w:rsid w:val="47790367"/>
    <w:rsid w:val="4799CC6A"/>
    <w:rsid w:val="47A3E108"/>
    <w:rsid w:val="47CD257E"/>
    <w:rsid w:val="47FD8D45"/>
    <w:rsid w:val="481BEE00"/>
    <w:rsid w:val="481C58FA"/>
    <w:rsid w:val="48A331FB"/>
    <w:rsid w:val="48B55468"/>
    <w:rsid w:val="48CF9625"/>
    <w:rsid w:val="4901E9B0"/>
    <w:rsid w:val="492FE999"/>
    <w:rsid w:val="49612154"/>
    <w:rsid w:val="49D54535"/>
    <w:rsid w:val="49E06432"/>
    <w:rsid w:val="4A1F1A5F"/>
    <w:rsid w:val="4A3E68D5"/>
    <w:rsid w:val="4A8C43E8"/>
    <w:rsid w:val="4A92FFB3"/>
    <w:rsid w:val="4B3DBD63"/>
    <w:rsid w:val="4B87BE3C"/>
    <w:rsid w:val="4B897569"/>
    <w:rsid w:val="4B89C594"/>
    <w:rsid w:val="4BD98D16"/>
    <w:rsid w:val="4BE69B0E"/>
    <w:rsid w:val="4C0D995A"/>
    <w:rsid w:val="4C2EE263"/>
    <w:rsid w:val="4C30450F"/>
    <w:rsid w:val="4C6C75D8"/>
    <w:rsid w:val="4C8D5E58"/>
    <w:rsid w:val="4CD5E209"/>
    <w:rsid w:val="4D290EB1"/>
    <w:rsid w:val="4D515FC3"/>
    <w:rsid w:val="4D5BAA8B"/>
    <w:rsid w:val="4D7C3B1A"/>
    <w:rsid w:val="4D8ED296"/>
    <w:rsid w:val="4D9E2DA0"/>
    <w:rsid w:val="4DA7007F"/>
    <w:rsid w:val="4DCF59F0"/>
    <w:rsid w:val="4E5A4969"/>
    <w:rsid w:val="4E60FF1D"/>
    <w:rsid w:val="4F007FF9"/>
    <w:rsid w:val="4F08AF6A"/>
    <w:rsid w:val="4F24D670"/>
    <w:rsid w:val="4F3FEFD6"/>
    <w:rsid w:val="50168CE7"/>
    <w:rsid w:val="5053FD4B"/>
    <w:rsid w:val="506DCA65"/>
    <w:rsid w:val="5096502E"/>
    <w:rsid w:val="5123B0AE"/>
    <w:rsid w:val="515C9F08"/>
    <w:rsid w:val="51B49318"/>
    <w:rsid w:val="51BD6768"/>
    <w:rsid w:val="51EDD999"/>
    <w:rsid w:val="521C39CA"/>
    <w:rsid w:val="528BAAA7"/>
    <w:rsid w:val="52931EDD"/>
    <w:rsid w:val="529ED0FE"/>
    <w:rsid w:val="52B5973D"/>
    <w:rsid w:val="53261B48"/>
    <w:rsid w:val="536ECFB2"/>
    <w:rsid w:val="5379FC10"/>
    <w:rsid w:val="538D2A56"/>
    <w:rsid w:val="53ACAA38"/>
    <w:rsid w:val="53BFCC82"/>
    <w:rsid w:val="53F5419B"/>
    <w:rsid w:val="5407E690"/>
    <w:rsid w:val="541A491C"/>
    <w:rsid w:val="5428E84D"/>
    <w:rsid w:val="553B4392"/>
    <w:rsid w:val="555E0B7C"/>
    <w:rsid w:val="5565D9A7"/>
    <w:rsid w:val="55FFDFEC"/>
    <w:rsid w:val="56511526"/>
    <w:rsid w:val="568D2283"/>
    <w:rsid w:val="56AD8DAB"/>
    <w:rsid w:val="5728DB31"/>
    <w:rsid w:val="572D0844"/>
    <w:rsid w:val="57A7243A"/>
    <w:rsid w:val="57D35073"/>
    <w:rsid w:val="57EDCA32"/>
    <w:rsid w:val="5868D631"/>
    <w:rsid w:val="58730A8D"/>
    <w:rsid w:val="58BC3F0E"/>
    <w:rsid w:val="58BC9219"/>
    <w:rsid w:val="58EAE588"/>
    <w:rsid w:val="59281740"/>
    <w:rsid w:val="593E8AF5"/>
    <w:rsid w:val="5973F3B4"/>
    <w:rsid w:val="5974E4A5"/>
    <w:rsid w:val="5979E536"/>
    <w:rsid w:val="598730C9"/>
    <w:rsid w:val="59E9D92F"/>
    <w:rsid w:val="59EA4893"/>
    <w:rsid w:val="5A398597"/>
    <w:rsid w:val="5A461FE9"/>
    <w:rsid w:val="5A78CC74"/>
    <w:rsid w:val="5A94673D"/>
    <w:rsid w:val="5A989ACE"/>
    <w:rsid w:val="5ABC7698"/>
    <w:rsid w:val="5B002E9C"/>
    <w:rsid w:val="5B038E75"/>
    <w:rsid w:val="5BA7F75D"/>
    <w:rsid w:val="5BC61CFF"/>
    <w:rsid w:val="5BD6E797"/>
    <w:rsid w:val="5C02D2A1"/>
    <w:rsid w:val="5C5BBC0A"/>
    <w:rsid w:val="5C640B8A"/>
    <w:rsid w:val="5C73705E"/>
    <w:rsid w:val="5CA3CADB"/>
    <w:rsid w:val="5CEE42D9"/>
    <w:rsid w:val="5D5528A7"/>
    <w:rsid w:val="5D9EC2E2"/>
    <w:rsid w:val="5E0FD26D"/>
    <w:rsid w:val="5E14532A"/>
    <w:rsid w:val="5E22C986"/>
    <w:rsid w:val="5E294AB9"/>
    <w:rsid w:val="5E40D506"/>
    <w:rsid w:val="5E7E921F"/>
    <w:rsid w:val="5EDC0330"/>
    <w:rsid w:val="5F16520A"/>
    <w:rsid w:val="5F74A14E"/>
    <w:rsid w:val="5F8265F6"/>
    <w:rsid w:val="5FC48E9D"/>
    <w:rsid w:val="5FEA8F71"/>
    <w:rsid w:val="60C4095C"/>
    <w:rsid w:val="60E6B760"/>
    <w:rsid w:val="611B79D2"/>
    <w:rsid w:val="6129191C"/>
    <w:rsid w:val="614DE7A0"/>
    <w:rsid w:val="61531BB8"/>
    <w:rsid w:val="61AACB60"/>
    <w:rsid w:val="621E990A"/>
    <w:rsid w:val="6240B1BE"/>
    <w:rsid w:val="62800BDC"/>
    <w:rsid w:val="628F4DB1"/>
    <w:rsid w:val="628FA40F"/>
    <w:rsid w:val="629E71BE"/>
    <w:rsid w:val="636FE3AB"/>
    <w:rsid w:val="644F2D1E"/>
    <w:rsid w:val="64DAFDB0"/>
    <w:rsid w:val="6530993F"/>
    <w:rsid w:val="6537E648"/>
    <w:rsid w:val="6553959C"/>
    <w:rsid w:val="658EB727"/>
    <w:rsid w:val="66A208FE"/>
    <w:rsid w:val="673EF28C"/>
    <w:rsid w:val="6744E025"/>
    <w:rsid w:val="674DB2F2"/>
    <w:rsid w:val="680E5361"/>
    <w:rsid w:val="682749E1"/>
    <w:rsid w:val="682B921E"/>
    <w:rsid w:val="687E784F"/>
    <w:rsid w:val="6900B2FF"/>
    <w:rsid w:val="69539CB8"/>
    <w:rsid w:val="699836A2"/>
    <w:rsid w:val="69DBFE57"/>
    <w:rsid w:val="6A13377D"/>
    <w:rsid w:val="6A3D60B7"/>
    <w:rsid w:val="6AB689AE"/>
    <w:rsid w:val="6AE014BD"/>
    <w:rsid w:val="6B5C0396"/>
    <w:rsid w:val="6B6B37BD"/>
    <w:rsid w:val="6B8F2AA1"/>
    <w:rsid w:val="6B952298"/>
    <w:rsid w:val="6BC0CA89"/>
    <w:rsid w:val="6BC930B8"/>
    <w:rsid w:val="6BD0C62D"/>
    <w:rsid w:val="6BFF7C5B"/>
    <w:rsid w:val="6C1F5655"/>
    <w:rsid w:val="6C29C83C"/>
    <w:rsid w:val="6C306C16"/>
    <w:rsid w:val="6CE62EF9"/>
    <w:rsid w:val="6D40B419"/>
    <w:rsid w:val="6D61191B"/>
    <w:rsid w:val="6D74E792"/>
    <w:rsid w:val="6E409AC1"/>
    <w:rsid w:val="6EB063AB"/>
    <w:rsid w:val="6F1CDC34"/>
    <w:rsid w:val="6F1DE2B9"/>
    <w:rsid w:val="6F36F4A4"/>
    <w:rsid w:val="70175EAE"/>
    <w:rsid w:val="704210BB"/>
    <w:rsid w:val="7049ACAF"/>
    <w:rsid w:val="7061D8A0"/>
    <w:rsid w:val="70AE4036"/>
    <w:rsid w:val="7119440E"/>
    <w:rsid w:val="711E3101"/>
    <w:rsid w:val="71358916"/>
    <w:rsid w:val="7145DB21"/>
    <w:rsid w:val="71D57820"/>
    <w:rsid w:val="71E38E32"/>
    <w:rsid w:val="71EBF060"/>
    <w:rsid w:val="720732E8"/>
    <w:rsid w:val="7275F155"/>
    <w:rsid w:val="73161D90"/>
    <w:rsid w:val="7327EE7E"/>
    <w:rsid w:val="73A7BE84"/>
    <w:rsid w:val="73B3B00C"/>
    <w:rsid w:val="73EDC53C"/>
    <w:rsid w:val="740A722A"/>
    <w:rsid w:val="74181427"/>
    <w:rsid w:val="7422BA61"/>
    <w:rsid w:val="74B004B9"/>
    <w:rsid w:val="74B46BE3"/>
    <w:rsid w:val="74EA39C9"/>
    <w:rsid w:val="751664C3"/>
    <w:rsid w:val="75471B4E"/>
    <w:rsid w:val="757D98F1"/>
    <w:rsid w:val="75D10D62"/>
    <w:rsid w:val="75D45AFC"/>
    <w:rsid w:val="75DAFD9E"/>
    <w:rsid w:val="76041E9A"/>
    <w:rsid w:val="760DBC1D"/>
    <w:rsid w:val="76252E26"/>
    <w:rsid w:val="763755DD"/>
    <w:rsid w:val="7647C54B"/>
    <w:rsid w:val="764C5022"/>
    <w:rsid w:val="7662F9D0"/>
    <w:rsid w:val="76787540"/>
    <w:rsid w:val="76ADA80A"/>
    <w:rsid w:val="76B1D6B5"/>
    <w:rsid w:val="770EC819"/>
    <w:rsid w:val="77824848"/>
    <w:rsid w:val="77FFC1AC"/>
    <w:rsid w:val="7838EDDD"/>
    <w:rsid w:val="78F6B109"/>
    <w:rsid w:val="7966A4E9"/>
    <w:rsid w:val="79B1909F"/>
    <w:rsid w:val="7A2183F1"/>
    <w:rsid w:val="7A234954"/>
    <w:rsid w:val="7A6487C8"/>
    <w:rsid w:val="7AC8B74A"/>
    <w:rsid w:val="7AFE12D0"/>
    <w:rsid w:val="7B09A15A"/>
    <w:rsid w:val="7B5F3705"/>
    <w:rsid w:val="7B6AE90A"/>
    <w:rsid w:val="7BD0D6F3"/>
    <w:rsid w:val="7BEAD450"/>
    <w:rsid w:val="7BF162C5"/>
    <w:rsid w:val="7C21B7EC"/>
    <w:rsid w:val="7C418496"/>
    <w:rsid w:val="7C61202B"/>
    <w:rsid w:val="7C6A134C"/>
    <w:rsid w:val="7C8BCAE8"/>
    <w:rsid w:val="7D2F6311"/>
    <w:rsid w:val="7DAD3D7E"/>
    <w:rsid w:val="7E0BABBB"/>
    <w:rsid w:val="7E9148C7"/>
    <w:rsid w:val="7EAA1993"/>
    <w:rsid w:val="7EDB0D6D"/>
    <w:rsid w:val="7F8DD077"/>
    <w:rsid w:val="7FA81179"/>
    <w:rsid w:val="7FB6F658"/>
    <w:rsid w:val="7FE4AC8A"/>
    <w:rsid w:val="7FEDBC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BA5F74D"/>
  <w15:chartTrackingRefBased/>
  <w15:docId w15:val="{7C5DA8B6-CEEF-4D92-BE99-4BF323032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2"/>
    <w:lsdException w:name="footer" w:uiPriority="2"/>
    <w:lsdException w:name="caption" w:semiHidden="1" w:unhideWhenUsed="1" w:qFormat="1"/>
    <w:lsdException w:name="footnote reference" w:uiPriority="99" w:qFormat="1"/>
    <w:lsdException w:name="annotation reference" w:uiPriority="99"/>
    <w:lsdException w:name="macro" w:uiPriority="1" w:qFormat="1"/>
    <w:lsdException w:name="List Bullet" w:uiPriority="1"/>
    <w:lsdException w:name="List Number" w:uiPriority="1"/>
    <w:lsdException w:name="List Bullet 2" w:uiPriority="1"/>
    <w:lsdException w:name="List Bullet 3" w:uiPriority="1"/>
    <w:lsdException w:name="List Bullet 4" w:uiPriority="1"/>
    <w:lsdException w:name="List Number 2" w:uiPriority="1"/>
    <w:lsdException w:name="List Number 3" w:uiPriority="1"/>
    <w:lsdException w:name="List Number 4" w:uiPriority="1"/>
    <w:lsdException w:name="Title" w:uiPriority="1" w:qFormat="1"/>
    <w:lsdException w:name="Signature" w:uiPriority="2"/>
    <w:lsdException w:name="Subtitle" w:qFormat="1"/>
    <w:lsdException w:name="Date" w:uiPriority="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CCA"/>
    <w:pPr>
      <w:spacing w:before="120" w:after="120"/>
      <w:jc w:val="both"/>
    </w:pPr>
    <w:rPr>
      <w:sz w:val="24"/>
      <w:szCs w:val="24"/>
      <w:lang w:eastAsia="en-US"/>
    </w:rPr>
  </w:style>
  <w:style w:type="paragraph" w:styleId="Heading1">
    <w:name w:val="heading 1"/>
    <w:basedOn w:val="Normal"/>
    <w:next w:val="Normal"/>
    <w:uiPriority w:val="1"/>
    <w:qFormat/>
    <w:rsid w:val="005643CD"/>
    <w:pPr>
      <w:keepNext/>
      <w:numPr>
        <w:numId w:val="16"/>
      </w:numPr>
      <w:spacing w:before="360"/>
      <w:outlineLvl w:val="0"/>
    </w:pPr>
    <w:rPr>
      <w:b/>
      <w:bCs/>
      <w:smallCaps/>
      <w:szCs w:val="32"/>
    </w:rPr>
  </w:style>
  <w:style w:type="paragraph" w:styleId="Heading2">
    <w:name w:val="heading 2"/>
    <w:basedOn w:val="Normal"/>
    <w:next w:val="Normal"/>
    <w:uiPriority w:val="1"/>
    <w:qFormat/>
    <w:rsid w:val="005643CD"/>
    <w:pPr>
      <w:keepNext/>
      <w:numPr>
        <w:ilvl w:val="1"/>
        <w:numId w:val="16"/>
      </w:numPr>
      <w:outlineLvl w:val="1"/>
    </w:pPr>
    <w:rPr>
      <w:b/>
      <w:bCs/>
      <w:iCs/>
      <w:szCs w:val="28"/>
    </w:rPr>
  </w:style>
  <w:style w:type="paragraph" w:styleId="Heading3">
    <w:name w:val="heading 3"/>
    <w:basedOn w:val="Normal"/>
    <w:next w:val="Normal"/>
    <w:uiPriority w:val="1"/>
    <w:qFormat/>
    <w:rsid w:val="005643CD"/>
    <w:pPr>
      <w:keepNext/>
      <w:numPr>
        <w:ilvl w:val="2"/>
        <w:numId w:val="16"/>
      </w:numPr>
      <w:outlineLvl w:val="2"/>
    </w:pPr>
    <w:rPr>
      <w:bCs/>
      <w:i/>
      <w:szCs w:val="26"/>
    </w:rPr>
  </w:style>
  <w:style w:type="paragraph" w:styleId="Heading4">
    <w:name w:val="heading 4"/>
    <w:basedOn w:val="Normal"/>
    <w:next w:val="Normal"/>
    <w:uiPriority w:val="1"/>
    <w:qFormat/>
    <w:rsid w:val="005643CD"/>
    <w:pPr>
      <w:keepNext/>
      <w:numPr>
        <w:ilvl w:val="3"/>
        <w:numId w:val="16"/>
      </w:numPr>
      <w:outlineLvl w:val="3"/>
    </w:pPr>
    <w:rPr>
      <w:bCs/>
      <w:szCs w:val="28"/>
    </w:rPr>
  </w:style>
  <w:style w:type="paragraph" w:styleId="Heading5">
    <w:name w:val="heading 5"/>
    <w:basedOn w:val="Normal"/>
    <w:next w:val="Normal"/>
    <w:link w:val="Heading5Char"/>
    <w:semiHidden/>
    <w:rsid w:val="00517B47"/>
    <w:pPr>
      <w:keepNext/>
      <w:tabs>
        <w:tab w:val="num" w:pos="2880"/>
      </w:tabs>
      <w:spacing w:before="0" w:after="240"/>
      <w:ind w:left="3838" w:hanging="958"/>
      <w:outlineLvl w:val="4"/>
    </w:pPr>
    <w:rPr>
      <w:szCs w:val="20"/>
      <w:lang w:eastAsia="en-IE"/>
    </w:rPr>
  </w:style>
  <w:style w:type="paragraph" w:styleId="Heading6">
    <w:name w:val="heading 6"/>
    <w:basedOn w:val="Normal"/>
    <w:next w:val="Normal"/>
    <w:link w:val="Heading6Char"/>
    <w:semiHidden/>
    <w:rsid w:val="00517B47"/>
    <w:pPr>
      <w:keepNext/>
      <w:tabs>
        <w:tab w:val="num" w:pos="2880"/>
      </w:tabs>
      <w:spacing w:before="0" w:after="240"/>
      <w:ind w:left="3838" w:hanging="958"/>
      <w:outlineLvl w:val="5"/>
    </w:pPr>
    <w:rPr>
      <w:szCs w:val="20"/>
      <w:lang w:eastAsia="en-IE"/>
    </w:rPr>
  </w:style>
  <w:style w:type="paragraph" w:styleId="Heading7">
    <w:name w:val="heading 7"/>
    <w:basedOn w:val="Normal"/>
    <w:next w:val="Normal"/>
    <w:link w:val="Heading7Char"/>
    <w:semiHidden/>
    <w:rsid w:val="00517B47"/>
    <w:pPr>
      <w:keepNext/>
      <w:tabs>
        <w:tab w:val="num" w:pos="2880"/>
      </w:tabs>
      <w:spacing w:before="0" w:after="240"/>
      <w:ind w:left="3838" w:hanging="958"/>
      <w:outlineLvl w:val="6"/>
    </w:pPr>
    <w:rPr>
      <w:szCs w:val="20"/>
      <w:lang w:eastAsia="en-IE"/>
    </w:rPr>
  </w:style>
  <w:style w:type="paragraph" w:styleId="Heading8">
    <w:name w:val="heading 8"/>
    <w:basedOn w:val="Normal"/>
    <w:next w:val="Normal"/>
    <w:link w:val="Heading8Char"/>
    <w:semiHidden/>
    <w:rsid w:val="00517B47"/>
    <w:pPr>
      <w:keepNext/>
      <w:tabs>
        <w:tab w:val="num" w:pos="2880"/>
      </w:tabs>
      <w:spacing w:before="0" w:after="240"/>
      <w:ind w:left="3838" w:hanging="958"/>
      <w:outlineLvl w:val="7"/>
    </w:pPr>
    <w:rPr>
      <w:szCs w:val="20"/>
      <w:lang w:eastAsia="en-IE"/>
    </w:rPr>
  </w:style>
  <w:style w:type="paragraph" w:styleId="Heading9">
    <w:name w:val="heading 9"/>
    <w:basedOn w:val="Normal"/>
    <w:next w:val="Normal"/>
    <w:link w:val="Heading9Char"/>
    <w:semiHidden/>
    <w:rsid w:val="00517B47"/>
    <w:pPr>
      <w:keepNext/>
      <w:tabs>
        <w:tab w:val="num" w:pos="2880"/>
      </w:tabs>
      <w:spacing w:before="0" w:after="240"/>
      <w:ind w:left="3838" w:hanging="958"/>
      <w:outlineLvl w:val="8"/>
    </w:pPr>
    <w:rPr>
      <w:szCs w:val="20"/>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rsid w:val="005643CD"/>
    <w:pPr>
      <w:spacing w:before="0" w:after="240"/>
      <w:jc w:val="center"/>
    </w:pPr>
    <w:rPr>
      <w:b/>
      <w:i/>
    </w:rPr>
  </w:style>
  <w:style w:type="paragraph" w:customStyle="1" w:styleId="AccompagnantPagedecouverture">
    <w:name w:val="Accompagnant (Page de couverture)"/>
    <w:basedOn w:val="Accompagnant"/>
    <w:next w:val="Normal"/>
    <w:rsid w:val="005643CD"/>
  </w:style>
  <w:style w:type="character" w:customStyle="1" w:styleId="Added">
    <w:name w:val="Added"/>
    <w:basedOn w:val="DefaultParagraphFont"/>
    <w:rsid w:val="005643CD"/>
    <w:rPr>
      <w:b/>
      <w:u w:val="single"/>
      <w:shd w:val="clear" w:color="auto" w:fill="auto"/>
    </w:rPr>
  </w:style>
  <w:style w:type="paragraph" w:customStyle="1" w:styleId="Address">
    <w:name w:val="Address"/>
    <w:basedOn w:val="Normal"/>
    <w:next w:val="Normal"/>
    <w:rsid w:val="005643CD"/>
    <w:pPr>
      <w:keepLines/>
      <w:spacing w:line="360" w:lineRule="auto"/>
      <w:ind w:left="3402"/>
      <w:jc w:val="left"/>
    </w:pPr>
  </w:style>
  <w:style w:type="paragraph" w:customStyle="1" w:styleId="Annexetitre">
    <w:name w:val="Annexe titre"/>
    <w:basedOn w:val="Normal"/>
    <w:next w:val="Normal"/>
    <w:rsid w:val="005643CD"/>
    <w:pPr>
      <w:jc w:val="center"/>
    </w:pPr>
    <w:rPr>
      <w:b/>
      <w:u w:val="single"/>
    </w:rPr>
  </w:style>
  <w:style w:type="paragraph" w:customStyle="1" w:styleId="Annexetitreexpos">
    <w:name w:val="Annexe titre (exposé)"/>
    <w:basedOn w:val="Normal"/>
    <w:next w:val="Normal"/>
    <w:rsid w:val="005643CD"/>
    <w:pPr>
      <w:jc w:val="center"/>
    </w:pPr>
    <w:rPr>
      <w:b/>
      <w:u w:val="single"/>
    </w:rPr>
  </w:style>
  <w:style w:type="paragraph" w:customStyle="1" w:styleId="Annexetitrefichefinancire">
    <w:name w:val="Annexe titre (fiche financière)"/>
    <w:basedOn w:val="Normal"/>
    <w:next w:val="Normal"/>
    <w:rsid w:val="005643CD"/>
    <w:pPr>
      <w:jc w:val="center"/>
    </w:pPr>
    <w:rPr>
      <w:b/>
      <w:u w:val="single"/>
    </w:rPr>
  </w:style>
  <w:style w:type="paragraph" w:customStyle="1" w:styleId="Applicationdirecte">
    <w:name w:val="Application directe"/>
    <w:basedOn w:val="Normal"/>
    <w:next w:val="Normal"/>
    <w:rsid w:val="005643CD"/>
    <w:pPr>
      <w:spacing w:before="480"/>
    </w:pPr>
  </w:style>
  <w:style w:type="paragraph" w:customStyle="1" w:styleId="Avertissementtitre">
    <w:name w:val="Avertissement titre"/>
    <w:basedOn w:val="Normal"/>
    <w:next w:val="Normal"/>
    <w:rsid w:val="005643CD"/>
    <w:pPr>
      <w:keepNext/>
      <w:spacing w:before="480"/>
    </w:pPr>
    <w:rPr>
      <w:u w:val="single"/>
    </w:rPr>
  </w:style>
  <w:style w:type="paragraph" w:customStyle="1" w:styleId="Bullet0">
    <w:name w:val="Bullet 0"/>
    <w:basedOn w:val="Normal"/>
    <w:rsid w:val="005643CD"/>
    <w:pPr>
      <w:numPr>
        <w:numId w:val="10"/>
      </w:numPr>
    </w:pPr>
  </w:style>
  <w:style w:type="paragraph" w:customStyle="1" w:styleId="Bullet1">
    <w:name w:val="Bullet 1"/>
    <w:basedOn w:val="Normal"/>
    <w:rsid w:val="005643CD"/>
    <w:pPr>
      <w:numPr>
        <w:numId w:val="11"/>
      </w:numPr>
    </w:pPr>
  </w:style>
  <w:style w:type="paragraph" w:customStyle="1" w:styleId="Bullet2">
    <w:name w:val="Bullet 2"/>
    <w:basedOn w:val="Normal"/>
    <w:rsid w:val="005643CD"/>
    <w:pPr>
      <w:numPr>
        <w:numId w:val="12"/>
      </w:numPr>
    </w:pPr>
  </w:style>
  <w:style w:type="paragraph" w:customStyle="1" w:styleId="Bullet3">
    <w:name w:val="Bullet 3"/>
    <w:basedOn w:val="Normal"/>
    <w:rsid w:val="005643CD"/>
    <w:pPr>
      <w:numPr>
        <w:numId w:val="13"/>
      </w:numPr>
    </w:pPr>
  </w:style>
  <w:style w:type="paragraph" w:customStyle="1" w:styleId="Bullet4">
    <w:name w:val="Bullet 4"/>
    <w:basedOn w:val="Normal"/>
    <w:rsid w:val="005643CD"/>
    <w:pPr>
      <w:numPr>
        <w:numId w:val="14"/>
      </w:numPr>
    </w:pPr>
  </w:style>
  <w:style w:type="paragraph" w:customStyle="1" w:styleId="ChapterTitle">
    <w:name w:val="ChapterTitle"/>
    <w:basedOn w:val="Normal"/>
    <w:next w:val="Normal"/>
    <w:uiPriority w:val="1"/>
    <w:qFormat/>
    <w:rsid w:val="005643CD"/>
    <w:pPr>
      <w:keepNext/>
      <w:spacing w:after="360"/>
      <w:jc w:val="center"/>
    </w:pPr>
    <w:rPr>
      <w:b/>
      <w:sz w:val="32"/>
    </w:rPr>
  </w:style>
  <w:style w:type="paragraph" w:customStyle="1" w:styleId="Confidence">
    <w:name w:val="Confidence"/>
    <w:basedOn w:val="Normal"/>
    <w:next w:val="Normal"/>
    <w:rsid w:val="005643CD"/>
    <w:pPr>
      <w:spacing w:before="360"/>
      <w:jc w:val="center"/>
    </w:pPr>
  </w:style>
  <w:style w:type="paragraph" w:customStyle="1" w:styleId="Confidentialit">
    <w:name w:val="Confidentialité"/>
    <w:basedOn w:val="Normal"/>
    <w:next w:val="Normal"/>
    <w:rsid w:val="005643CD"/>
    <w:pPr>
      <w:spacing w:before="240" w:after="240"/>
      <w:ind w:left="5103"/>
    </w:pPr>
    <w:rPr>
      <w:u w:val="single"/>
    </w:rPr>
  </w:style>
  <w:style w:type="paragraph" w:customStyle="1" w:styleId="Considrant">
    <w:name w:val="Considérant"/>
    <w:basedOn w:val="Normal"/>
    <w:rsid w:val="005643CD"/>
    <w:pPr>
      <w:numPr>
        <w:numId w:val="15"/>
      </w:numPr>
    </w:pPr>
  </w:style>
  <w:style w:type="paragraph" w:customStyle="1" w:styleId="Corrigendum">
    <w:name w:val="Corrigendum"/>
    <w:basedOn w:val="Normal"/>
    <w:next w:val="Normal"/>
    <w:rsid w:val="005643CD"/>
    <w:pPr>
      <w:spacing w:before="0" w:after="240"/>
      <w:jc w:val="left"/>
    </w:pPr>
  </w:style>
  <w:style w:type="paragraph" w:customStyle="1" w:styleId="Datedadoption">
    <w:name w:val="Date d'adoption"/>
    <w:basedOn w:val="Normal"/>
    <w:next w:val="Normal"/>
    <w:rsid w:val="005643CD"/>
    <w:pPr>
      <w:spacing w:before="360" w:after="0"/>
      <w:jc w:val="center"/>
    </w:pPr>
    <w:rPr>
      <w:b/>
    </w:rPr>
  </w:style>
  <w:style w:type="paragraph" w:customStyle="1" w:styleId="DatedadoptionPagedecouverture">
    <w:name w:val="Date d'adoption (Page de couverture)"/>
    <w:basedOn w:val="Datedadoption"/>
    <w:next w:val="Normal"/>
    <w:rsid w:val="005643CD"/>
  </w:style>
  <w:style w:type="character" w:customStyle="1" w:styleId="Deleted">
    <w:name w:val="Deleted"/>
    <w:basedOn w:val="DefaultParagraphFont"/>
    <w:rsid w:val="005643CD"/>
    <w:rPr>
      <w:strike/>
      <w:shd w:val="clear" w:color="auto" w:fill="auto"/>
    </w:rPr>
  </w:style>
  <w:style w:type="paragraph" w:customStyle="1" w:styleId="Emission">
    <w:name w:val="Emission"/>
    <w:basedOn w:val="Normal"/>
    <w:next w:val="Normal"/>
    <w:rsid w:val="005643CD"/>
    <w:pPr>
      <w:spacing w:before="0" w:after="0"/>
      <w:ind w:left="5103"/>
      <w:jc w:val="left"/>
    </w:pPr>
  </w:style>
  <w:style w:type="paragraph" w:customStyle="1" w:styleId="Exposdesmotifstitre">
    <w:name w:val="Exposé des motifs titre"/>
    <w:basedOn w:val="Normal"/>
    <w:next w:val="Normal"/>
    <w:rsid w:val="005643CD"/>
    <w:pPr>
      <w:jc w:val="center"/>
    </w:pPr>
    <w:rPr>
      <w:b/>
      <w:u w:val="single"/>
    </w:rPr>
  </w:style>
  <w:style w:type="paragraph" w:customStyle="1" w:styleId="Fait">
    <w:name w:val="Fait à"/>
    <w:basedOn w:val="Normal"/>
    <w:next w:val="Normal"/>
    <w:rsid w:val="005643CD"/>
    <w:pPr>
      <w:keepNext/>
      <w:spacing w:after="0"/>
    </w:pPr>
  </w:style>
  <w:style w:type="paragraph" w:customStyle="1" w:styleId="Fichefinanciretitre">
    <w:name w:val="Fiche financière titre"/>
    <w:basedOn w:val="Normal"/>
    <w:next w:val="Normal"/>
    <w:rsid w:val="005643CD"/>
    <w:pPr>
      <w:jc w:val="center"/>
    </w:pPr>
    <w:rPr>
      <w:b/>
      <w:u w:val="single"/>
    </w:rPr>
  </w:style>
  <w:style w:type="paragraph" w:styleId="Footer">
    <w:name w:val="footer"/>
    <w:basedOn w:val="Normal"/>
    <w:uiPriority w:val="2"/>
    <w:rsid w:val="005643C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643CD"/>
    <w:pPr>
      <w:tabs>
        <w:tab w:val="center" w:pos="7285"/>
        <w:tab w:val="center" w:pos="10913"/>
        <w:tab w:val="right" w:pos="15137"/>
      </w:tabs>
      <w:spacing w:before="360" w:after="0"/>
      <w:ind w:left="-567" w:right="-567"/>
      <w:jc w:val="left"/>
    </w:pPr>
  </w:style>
  <w:style w:type="character" w:styleId="FootnoteReference">
    <w:name w:val="footnote reference"/>
    <w:aliases w:val="Footnote Reference Number,Footnote Reference_LVL6,Footnote Reference_LVL61,Footnote Reference_LVL62,Footnote Reference_LVL63,Footnote Reference_LVL64,Footnote Reference_LVL65,Footnote symbol,Times 10 Point,Exposant 3 Point,R,note TESI"/>
    <w:basedOn w:val="DefaultParagraphFont"/>
    <w:link w:val="FootnotesymbolChar"/>
    <w:uiPriority w:val="99"/>
    <w:qFormat/>
    <w:rsid w:val="005643CD"/>
    <w:rPr>
      <w:shd w:val="clear" w:color="auto" w:fill="auto"/>
      <w:vertAlign w:val="superscript"/>
    </w:rPr>
  </w:style>
  <w:style w:type="paragraph" w:styleId="FootnoteText">
    <w:name w:val="footnote text"/>
    <w:aliases w:val="single space,Fußnotentextf,Footnote text,fn,Schriftart: 9 pt,Schriftart: 10 pt,Schriftart: 8 pt,WB-Fußnotentext,footnote text,Footnote Text2,Footnote Text11,ALTS FOOTNOTE11,Footnote Text Char111,ALTS FOOTNOTE2,Footnote Text Char1,stile 1,f"/>
    <w:basedOn w:val="Normal"/>
    <w:uiPriority w:val="99"/>
    <w:qFormat/>
    <w:rsid w:val="005643CD"/>
    <w:pPr>
      <w:spacing w:before="0" w:after="0"/>
      <w:ind w:left="720" w:hanging="720"/>
    </w:pPr>
    <w:rPr>
      <w:sz w:val="20"/>
      <w:szCs w:val="20"/>
    </w:rPr>
  </w:style>
  <w:style w:type="paragraph" w:customStyle="1" w:styleId="Formuledadoption">
    <w:name w:val="Formule d'adoption"/>
    <w:basedOn w:val="Normal"/>
    <w:next w:val="Normal"/>
    <w:rsid w:val="005643CD"/>
    <w:pPr>
      <w:keepNext/>
    </w:pPr>
  </w:style>
  <w:style w:type="paragraph" w:styleId="Header">
    <w:name w:val="header"/>
    <w:basedOn w:val="Normal"/>
    <w:link w:val="HeaderChar"/>
    <w:uiPriority w:val="2"/>
    <w:rsid w:val="005643CD"/>
    <w:pPr>
      <w:tabs>
        <w:tab w:val="center" w:pos="4535"/>
        <w:tab w:val="right" w:pos="9071"/>
      </w:tabs>
    </w:pPr>
  </w:style>
  <w:style w:type="paragraph" w:customStyle="1" w:styleId="HeaderLandscape">
    <w:name w:val="HeaderLandscape"/>
    <w:basedOn w:val="Normal"/>
    <w:rsid w:val="005643CD"/>
    <w:pPr>
      <w:tabs>
        <w:tab w:val="center" w:pos="7285"/>
        <w:tab w:val="right" w:pos="14003"/>
      </w:tabs>
    </w:pPr>
  </w:style>
  <w:style w:type="paragraph" w:customStyle="1" w:styleId="Institutionquiagit">
    <w:name w:val="Institution qui agit"/>
    <w:basedOn w:val="Normal"/>
    <w:next w:val="Normal"/>
    <w:rsid w:val="005643CD"/>
    <w:pPr>
      <w:keepNext/>
      <w:spacing w:before="600"/>
    </w:pPr>
  </w:style>
  <w:style w:type="paragraph" w:customStyle="1" w:styleId="Institutionquisigne">
    <w:name w:val="Institution qui signe"/>
    <w:basedOn w:val="Normal"/>
    <w:next w:val="Normal"/>
    <w:rsid w:val="005643CD"/>
    <w:pPr>
      <w:keepNext/>
      <w:tabs>
        <w:tab w:val="left" w:pos="4252"/>
      </w:tabs>
      <w:spacing w:before="720" w:after="0"/>
    </w:pPr>
    <w:rPr>
      <w:i/>
    </w:rPr>
  </w:style>
  <w:style w:type="paragraph" w:customStyle="1" w:styleId="Languesfaisantfoi">
    <w:name w:val="Langues faisant foi"/>
    <w:basedOn w:val="Normal"/>
    <w:next w:val="Normal"/>
    <w:rsid w:val="00B5186B"/>
    <w:pPr>
      <w:spacing w:before="360" w:after="240"/>
      <w:jc w:val="center"/>
    </w:pPr>
    <w:rPr>
      <w:rFonts w:eastAsiaTheme="minorHAnsi"/>
      <w:szCs w:val="22"/>
    </w:rPr>
  </w:style>
  <w:style w:type="paragraph" w:customStyle="1" w:styleId="IntrtEEE">
    <w:name w:val="Intérêt EEE"/>
    <w:basedOn w:val="Languesfaisantfoi"/>
    <w:next w:val="Normal"/>
    <w:rsid w:val="00B5186B"/>
    <w:pPr>
      <w:spacing w:after="0"/>
    </w:pPr>
  </w:style>
  <w:style w:type="paragraph" w:customStyle="1" w:styleId="IntrtEEEPagedecouverture">
    <w:name w:val="Intérêt EEE (Page de couverture)"/>
    <w:basedOn w:val="IntrtEEE"/>
    <w:next w:val="Normal"/>
    <w:rsid w:val="00B5186B"/>
  </w:style>
  <w:style w:type="paragraph" w:customStyle="1" w:styleId="Langue">
    <w:name w:val="Langue"/>
    <w:basedOn w:val="Normal"/>
    <w:next w:val="Normal"/>
    <w:rsid w:val="005643CD"/>
    <w:pPr>
      <w:framePr w:wrap="around" w:vAnchor="page" w:hAnchor="text" w:xAlign="center" w:y="14741"/>
      <w:spacing w:before="0" w:after="600"/>
      <w:jc w:val="center"/>
    </w:pPr>
    <w:rPr>
      <w:b/>
      <w:caps/>
    </w:rPr>
  </w:style>
  <w:style w:type="paragraph" w:customStyle="1" w:styleId="LanguesfaisantfoiPagedecouverture">
    <w:name w:val="Langues faisant foi (Page de couverture)"/>
    <w:basedOn w:val="Normal"/>
    <w:next w:val="Rfrencecroise"/>
    <w:rsid w:val="00B5186B"/>
    <w:pPr>
      <w:spacing w:before="360" w:after="240"/>
      <w:jc w:val="center"/>
    </w:pPr>
    <w:rPr>
      <w:rFonts w:eastAsiaTheme="minorHAnsi"/>
      <w:szCs w:val="22"/>
    </w:rPr>
  </w:style>
  <w:style w:type="paragraph" w:customStyle="1" w:styleId="ManualConsidrant">
    <w:name w:val="Manual Considérant"/>
    <w:basedOn w:val="Normal"/>
    <w:rsid w:val="005643CD"/>
    <w:pPr>
      <w:ind w:left="709" w:hanging="709"/>
    </w:pPr>
  </w:style>
  <w:style w:type="paragraph" w:customStyle="1" w:styleId="ManualHeading1">
    <w:name w:val="Manual Heading 1"/>
    <w:basedOn w:val="Normal"/>
    <w:next w:val="Normal"/>
    <w:rsid w:val="005643CD"/>
    <w:pPr>
      <w:keepNext/>
      <w:tabs>
        <w:tab w:val="left" w:pos="850"/>
      </w:tabs>
      <w:spacing w:before="360"/>
      <w:ind w:left="850" w:hanging="850"/>
      <w:outlineLvl w:val="0"/>
    </w:pPr>
    <w:rPr>
      <w:b/>
      <w:smallCaps/>
    </w:rPr>
  </w:style>
  <w:style w:type="paragraph" w:customStyle="1" w:styleId="ManualHeading2">
    <w:name w:val="Manual Heading 2"/>
    <w:basedOn w:val="Normal"/>
    <w:next w:val="Normal"/>
    <w:rsid w:val="005643CD"/>
    <w:pPr>
      <w:keepNext/>
      <w:tabs>
        <w:tab w:val="left" w:pos="850"/>
      </w:tabs>
      <w:ind w:left="850" w:hanging="850"/>
      <w:outlineLvl w:val="1"/>
    </w:pPr>
    <w:rPr>
      <w:b/>
    </w:rPr>
  </w:style>
  <w:style w:type="paragraph" w:customStyle="1" w:styleId="ManualHeading3">
    <w:name w:val="Manual Heading 3"/>
    <w:basedOn w:val="Normal"/>
    <w:next w:val="Normal"/>
    <w:rsid w:val="005643CD"/>
    <w:pPr>
      <w:keepNext/>
      <w:tabs>
        <w:tab w:val="left" w:pos="850"/>
      </w:tabs>
      <w:ind w:left="850" w:hanging="850"/>
      <w:outlineLvl w:val="2"/>
    </w:pPr>
    <w:rPr>
      <w:i/>
    </w:rPr>
  </w:style>
  <w:style w:type="paragraph" w:customStyle="1" w:styleId="ManualHeading4">
    <w:name w:val="Manual Heading 4"/>
    <w:basedOn w:val="Normal"/>
    <w:next w:val="Normal"/>
    <w:rsid w:val="005643CD"/>
    <w:pPr>
      <w:keepNext/>
      <w:tabs>
        <w:tab w:val="left" w:pos="850"/>
      </w:tabs>
      <w:ind w:left="850" w:hanging="850"/>
      <w:outlineLvl w:val="3"/>
    </w:pPr>
  </w:style>
  <w:style w:type="paragraph" w:customStyle="1" w:styleId="ManualNumPar1">
    <w:name w:val="Manual NumPar 1"/>
    <w:basedOn w:val="Normal"/>
    <w:next w:val="Normal"/>
    <w:rsid w:val="005643CD"/>
    <w:pPr>
      <w:ind w:left="850" w:hanging="850"/>
    </w:pPr>
  </w:style>
  <w:style w:type="paragraph" w:customStyle="1" w:styleId="ManualNumPar2">
    <w:name w:val="Manual NumPar 2"/>
    <w:basedOn w:val="Normal"/>
    <w:next w:val="Normal"/>
    <w:rsid w:val="005643CD"/>
    <w:pPr>
      <w:ind w:left="850" w:hanging="850"/>
    </w:pPr>
  </w:style>
  <w:style w:type="paragraph" w:customStyle="1" w:styleId="ManualNumPar3">
    <w:name w:val="Manual NumPar 3"/>
    <w:basedOn w:val="Normal"/>
    <w:next w:val="Normal"/>
    <w:rsid w:val="005643CD"/>
    <w:pPr>
      <w:ind w:left="850" w:hanging="850"/>
    </w:pPr>
  </w:style>
  <w:style w:type="paragraph" w:customStyle="1" w:styleId="ManualNumPar4">
    <w:name w:val="Manual NumPar 4"/>
    <w:basedOn w:val="Normal"/>
    <w:next w:val="Normal"/>
    <w:rsid w:val="005643CD"/>
    <w:pPr>
      <w:ind w:left="850" w:hanging="850"/>
    </w:pPr>
  </w:style>
  <w:style w:type="character" w:customStyle="1" w:styleId="Marker">
    <w:name w:val="Marker"/>
    <w:basedOn w:val="DefaultParagraphFont"/>
    <w:rsid w:val="005643CD"/>
    <w:rPr>
      <w:color w:val="0000FF"/>
      <w:shd w:val="clear" w:color="auto" w:fill="auto"/>
    </w:rPr>
  </w:style>
  <w:style w:type="character" w:customStyle="1" w:styleId="Marker1">
    <w:name w:val="Marker1"/>
    <w:basedOn w:val="DefaultParagraphFont"/>
    <w:rsid w:val="005643CD"/>
    <w:rPr>
      <w:color w:val="008000"/>
      <w:shd w:val="clear" w:color="auto" w:fill="auto"/>
    </w:rPr>
  </w:style>
  <w:style w:type="character" w:customStyle="1" w:styleId="Marker2">
    <w:name w:val="Marker2"/>
    <w:basedOn w:val="DefaultParagraphFont"/>
    <w:rsid w:val="005643CD"/>
    <w:rPr>
      <w:color w:val="FF0000"/>
      <w:shd w:val="clear" w:color="auto" w:fill="auto"/>
    </w:rPr>
  </w:style>
  <w:style w:type="paragraph" w:customStyle="1" w:styleId="Nomdelinstitution">
    <w:name w:val="Nom de l'institution"/>
    <w:basedOn w:val="Normal"/>
    <w:next w:val="Emission"/>
    <w:rsid w:val="005643CD"/>
    <w:pPr>
      <w:spacing w:before="0" w:after="0"/>
      <w:jc w:val="left"/>
    </w:pPr>
    <w:rPr>
      <w:rFonts w:ascii="Arial" w:hAnsi="Arial" w:cs="Arial"/>
    </w:rPr>
  </w:style>
  <w:style w:type="paragraph" w:customStyle="1" w:styleId="NormalCentered">
    <w:name w:val="Normal Centered"/>
    <w:basedOn w:val="Normal"/>
    <w:rsid w:val="005643CD"/>
    <w:pPr>
      <w:jc w:val="center"/>
    </w:pPr>
  </w:style>
  <w:style w:type="paragraph" w:customStyle="1" w:styleId="NormalLeft">
    <w:name w:val="Normal Left"/>
    <w:basedOn w:val="Normal"/>
    <w:rsid w:val="005643CD"/>
    <w:pPr>
      <w:jc w:val="left"/>
    </w:pPr>
  </w:style>
  <w:style w:type="paragraph" w:customStyle="1" w:styleId="NormalRight">
    <w:name w:val="Normal Right"/>
    <w:basedOn w:val="Normal"/>
    <w:rsid w:val="005643CD"/>
    <w:pPr>
      <w:jc w:val="right"/>
    </w:pPr>
  </w:style>
  <w:style w:type="paragraph" w:customStyle="1" w:styleId="NumPar1">
    <w:name w:val="NumPar 1"/>
    <w:basedOn w:val="Normal"/>
    <w:next w:val="Normal"/>
    <w:uiPriority w:val="1"/>
    <w:qFormat/>
    <w:rsid w:val="005643CD"/>
    <w:pPr>
      <w:numPr>
        <w:numId w:val="17"/>
      </w:numPr>
    </w:pPr>
  </w:style>
  <w:style w:type="paragraph" w:customStyle="1" w:styleId="NumPar2">
    <w:name w:val="NumPar 2"/>
    <w:basedOn w:val="Normal"/>
    <w:next w:val="Normal"/>
    <w:uiPriority w:val="1"/>
    <w:qFormat/>
    <w:rsid w:val="005643CD"/>
    <w:pPr>
      <w:numPr>
        <w:ilvl w:val="1"/>
        <w:numId w:val="17"/>
      </w:numPr>
    </w:pPr>
  </w:style>
  <w:style w:type="paragraph" w:customStyle="1" w:styleId="NumPar3">
    <w:name w:val="NumPar 3"/>
    <w:basedOn w:val="Normal"/>
    <w:next w:val="Normal"/>
    <w:uiPriority w:val="1"/>
    <w:qFormat/>
    <w:rsid w:val="005643CD"/>
    <w:pPr>
      <w:numPr>
        <w:ilvl w:val="2"/>
        <w:numId w:val="17"/>
      </w:numPr>
    </w:pPr>
  </w:style>
  <w:style w:type="paragraph" w:customStyle="1" w:styleId="NumPar4">
    <w:name w:val="NumPar 4"/>
    <w:basedOn w:val="Normal"/>
    <w:next w:val="Normal"/>
    <w:uiPriority w:val="1"/>
    <w:qFormat/>
    <w:rsid w:val="005643CD"/>
    <w:pPr>
      <w:numPr>
        <w:ilvl w:val="3"/>
        <w:numId w:val="17"/>
      </w:numPr>
    </w:pPr>
  </w:style>
  <w:style w:type="paragraph" w:customStyle="1" w:styleId="Objetacteprincipal">
    <w:name w:val="Objet acte principal"/>
    <w:basedOn w:val="Normal"/>
    <w:next w:val="Normal"/>
    <w:rsid w:val="005643CD"/>
    <w:pPr>
      <w:spacing w:before="0" w:after="360"/>
      <w:jc w:val="center"/>
    </w:pPr>
    <w:rPr>
      <w:b/>
    </w:rPr>
  </w:style>
  <w:style w:type="paragraph" w:customStyle="1" w:styleId="ObjetacteprincipalPagedecouverture">
    <w:name w:val="Objet acte principal (Page de couverture)"/>
    <w:basedOn w:val="Objetacteprincipal"/>
    <w:next w:val="Normal"/>
    <w:rsid w:val="005643CD"/>
  </w:style>
  <w:style w:type="paragraph" w:customStyle="1" w:styleId="Objetexterne">
    <w:name w:val="Objet externe"/>
    <w:basedOn w:val="Normal"/>
    <w:next w:val="Normal"/>
    <w:rsid w:val="005643CD"/>
    <w:rPr>
      <w:i/>
      <w:caps/>
    </w:rPr>
  </w:style>
  <w:style w:type="paragraph" w:customStyle="1" w:styleId="Pagedecouverture">
    <w:name w:val="Page de couverture"/>
    <w:basedOn w:val="Normal"/>
    <w:next w:val="Normal"/>
    <w:rsid w:val="005643CD"/>
  </w:style>
  <w:style w:type="paragraph" w:customStyle="1" w:styleId="PartTitle">
    <w:name w:val="PartTitle"/>
    <w:basedOn w:val="Normal"/>
    <w:next w:val="ChapterTitle"/>
    <w:uiPriority w:val="1"/>
    <w:qFormat/>
    <w:rsid w:val="005643CD"/>
    <w:pPr>
      <w:keepNext/>
      <w:pageBreakBefore/>
      <w:spacing w:after="360"/>
      <w:jc w:val="center"/>
    </w:pPr>
    <w:rPr>
      <w:b/>
      <w:sz w:val="36"/>
    </w:rPr>
  </w:style>
  <w:style w:type="paragraph" w:customStyle="1" w:styleId="Personnequisigne">
    <w:name w:val="Personne qui signe"/>
    <w:basedOn w:val="Normal"/>
    <w:next w:val="Institutionquisigne"/>
    <w:rsid w:val="005643CD"/>
    <w:pPr>
      <w:tabs>
        <w:tab w:val="left" w:pos="4252"/>
      </w:tabs>
      <w:spacing w:before="0" w:after="0"/>
      <w:jc w:val="left"/>
    </w:pPr>
    <w:rPr>
      <w:i/>
    </w:rPr>
  </w:style>
  <w:style w:type="paragraph" w:customStyle="1" w:styleId="Point0">
    <w:name w:val="Point 0"/>
    <w:basedOn w:val="Normal"/>
    <w:rsid w:val="005643CD"/>
    <w:pPr>
      <w:ind w:left="850" w:hanging="850"/>
    </w:pPr>
  </w:style>
  <w:style w:type="paragraph" w:customStyle="1" w:styleId="Point0letter">
    <w:name w:val="Point 0 (letter)"/>
    <w:basedOn w:val="Normal"/>
    <w:rsid w:val="005643CD"/>
    <w:pPr>
      <w:numPr>
        <w:ilvl w:val="1"/>
        <w:numId w:val="18"/>
      </w:numPr>
    </w:pPr>
  </w:style>
  <w:style w:type="paragraph" w:customStyle="1" w:styleId="Point0number">
    <w:name w:val="Point 0 (number)"/>
    <w:basedOn w:val="Normal"/>
    <w:rsid w:val="005643CD"/>
    <w:pPr>
      <w:numPr>
        <w:numId w:val="18"/>
      </w:numPr>
    </w:pPr>
  </w:style>
  <w:style w:type="paragraph" w:customStyle="1" w:styleId="Point1">
    <w:name w:val="Point 1"/>
    <w:basedOn w:val="Normal"/>
    <w:rsid w:val="005643CD"/>
    <w:pPr>
      <w:ind w:left="1417" w:hanging="567"/>
    </w:pPr>
  </w:style>
  <w:style w:type="paragraph" w:customStyle="1" w:styleId="Point1letter">
    <w:name w:val="Point 1 (letter)"/>
    <w:basedOn w:val="Normal"/>
    <w:rsid w:val="005643CD"/>
    <w:pPr>
      <w:numPr>
        <w:ilvl w:val="3"/>
        <w:numId w:val="18"/>
      </w:numPr>
    </w:pPr>
  </w:style>
  <w:style w:type="paragraph" w:customStyle="1" w:styleId="Point1number">
    <w:name w:val="Point 1 (number)"/>
    <w:basedOn w:val="Normal"/>
    <w:rsid w:val="005643CD"/>
    <w:pPr>
      <w:numPr>
        <w:ilvl w:val="2"/>
        <w:numId w:val="18"/>
      </w:numPr>
    </w:pPr>
  </w:style>
  <w:style w:type="paragraph" w:customStyle="1" w:styleId="Point2">
    <w:name w:val="Point 2"/>
    <w:basedOn w:val="Normal"/>
    <w:rsid w:val="005643CD"/>
    <w:pPr>
      <w:ind w:left="1984" w:hanging="567"/>
    </w:pPr>
  </w:style>
  <w:style w:type="paragraph" w:customStyle="1" w:styleId="Point2letter">
    <w:name w:val="Point 2 (letter)"/>
    <w:basedOn w:val="Normal"/>
    <w:rsid w:val="005643CD"/>
    <w:pPr>
      <w:numPr>
        <w:ilvl w:val="5"/>
        <w:numId w:val="18"/>
      </w:numPr>
    </w:pPr>
  </w:style>
  <w:style w:type="paragraph" w:customStyle="1" w:styleId="Point2number">
    <w:name w:val="Point 2 (number)"/>
    <w:basedOn w:val="Normal"/>
    <w:rsid w:val="005643CD"/>
    <w:pPr>
      <w:numPr>
        <w:ilvl w:val="4"/>
        <w:numId w:val="18"/>
      </w:numPr>
    </w:pPr>
  </w:style>
  <w:style w:type="paragraph" w:customStyle="1" w:styleId="Point3">
    <w:name w:val="Point 3"/>
    <w:basedOn w:val="Normal"/>
    <w:rsid w:val="005643CD"/>
    <w:pPr>
      <w:ind w:left="2551" w:hanging="567"/>
    </w:pPr>
  </w:style>
  <w:style w:type="paragraph" w:customStyle="1" w:styleId="Point3letter">
    <w:name w:val="Point 3 (letter)"/>
    <w:basedOn w:val="Normal"/>
    <w:rsid w:val="005643CD"/>
    <w:pPr>
      <w:numPr>
        <w:ilvl w:val="7"/>
        <w:numId w:val="18"/>
      </w:numPr>
    </w:pPr>
  </w:style>
  <w:style w:type="paragraph" w:customStyle="1" w:styleId="Point3number">
    <w:name w:val="Point 3 (number)"/>
    <w:basedOn w:val="Normal"/>
    <w:rsid w:val="005643CD"/>
    <w:pPr>
      <w:numPr>
        <w:ilvl w:val="6"/>
        <w:numId w:val="18"/>
      </w:numPr>
    </w:pPr>
  </w:style>
  <w:style w:type="paragraph" w:customStyle="1" w:styleId="Point4">
    <w:name w:val="Point 4"/>
    <w:basedOn w:val="Normal"/>
    <w:rsid w:val="005643CD"/>
    <w:pPr>
      <w:ind w:left="3118" w:hanging="567"/>
    </w:pPr>
  </w:style>
  <w:style w:type="paragraph" w:customStyle="1" w:styleId="Point4letter">
    <w:name w:val="Point 4 (letter)"/>
    <w:basedOn w:val="Normal"/>
    <w:rsid w:val="005643CD"/>
    <w:pPr>
      <w:numPr>
        <w:ilvl w:val="8"/>
        <w:numId w:val="18"/>
      </w:numPr>
    </w:pPr>
  </w:style>
  <w:style w:type="paragraph" w:customStyle="1" w:styleId="PointDouble0">
    <w:name w:val="PointDouble 0"/>
    <w:basedOn w:val="Normal"/>
    <w:rsid w:val="005643CD"/>
    <w:pPr>
      <w:tabs>
        <w:tab w:val="left" w:pos="850"/>
      </w:tabs>
      <w:ind w:left="1417" w:hanging="1417"/>
    </w:pPr>
  </w:style>
  <w:style w:type="paragraph" w:customStyle="1" w:styleId="PointDouble1">
    <w:name w:val="PointDouble 1"/>
    <w:basedOn w:val="Normal"/>
    <w:rsid w:val="005643CD"/>
    <w:pPr>
      <w:tabs>
        <w:tab w:val="left" w:pos="1417"/>
      </w:tabs>
      <w:ind w:left="1984" w:hanging="1134"/>
    </w:pPr>
  </w:style>
  <w:style w:type="paragraph" w:customStyle="1" w:styleId="PointDouble2">
    <w:name w:val="PointDouble 2"/>
    <w:basedOn w:val="Normal"/>
    <w:rsid w:val="005643CD"/>
    <w:pPr>
      <w:tabs>
        <w:tab w:val="left" w:pos="1984"/>
      </w:tabs>
      <w:ind w:left="2551" w:hanging="1134"/>
    </w:pPr>
  </w:style>
  <w:style w:type="paragraph" w:customStyle="1" w:styleId="PointDouble3">
    <w:name w:val="PointDouble 3"/>
    <w:basedOn w:val="Normal"/>
    <w:rsid w:val="005643CD"/>
    <w:pPr>
      <w:tabs>
        <w:tab w:val="left" w:pos="2551"/>
      </w:tabs>
      <w:ind w:left="3118" w:hanging="1134"/>
    </w:pPr>
  </w:style>
  <w:style w:type="paragraph" w:customStyle="1" w:styleId="PointDouble4">
    <w:name w:val="PointDouble 4"/>
    <w:basedOn w:val="Normal"/>
    <w:rsid w:val="005643CD"/>
    <w:pPr>
      <w:tabs>
        <w:tab w:val="left" w:pos="3118"/>
      </w:tabs>
      <w:ind w:left="3685" w:hanging="1134"/>
    </w:pPr>
  </w:style>
  <w:style w:type="paragraph" w:customStyle="1" w:styleId="PointTriple0">
    <w:name w:val="PointTriple 0"/>
    <w:basedOn w:val="Normal"/>
    <w:rsid w:val="005643CD"/>
    <w:pPr>
      <w:tabs>
        <w:tab w:val="left" w:pos="850"/>
        <w:tab w:val="left" w:pos="1417"/>
      </w:tabs>
      <w:ind w:left="1984" w:hanging="1984"/>
    </w:pPr>
  </w:style>
  <w:style w:type="paragraph" w:customStyle="1" w:styleId="PointTriple1">
    <w:name w:val="PointTriple 1"/>
    <w:basedOn w:val="Normal"/>
    <w:rsid w:val="005643CD"/>
    <w:pPr>
      <w:tabs>
        <w:tab w:val="left" w:pos="1417"/>
        <w:tab w:val="left" w:pos="1984"/>
      </w:tabs>
      <w:ind w:left="2551" w:hanging="1701"/>
    </w:pPr>
  </w:style>
  <w:style w:type="paragraph" w:customStyle="1" w:styleId="PointTriple2">
    <w:name w:val="PointTriple 2"/>
    <w:basedOn w:val="Normal"/>
    <w:rsid w:val="005643CD"/>
    <w:pPr>
      <w:tabs>
        <w:tab w:val="left" w:pos="1984"/>
        <w:tab w:val="left" w:pos="2551"/>
      </w:tabs>
      <w:ind w:left="3118" w:hanging="1701"/>
    </w:pPr>
  </w:style>
  <w:style w:type="paragraph" w:customStyle="1" w:styleId="PointTriple3">
    <w:name w:val="PointTriple 3"/>
    <w:basedOn w:val="Normal"/>
    <w:rsid w:val="005643CD"/>
    <w:pPr>
      <w:tabs>
        <w:tab w:val="left" w:pos="2551"/>
        <w:tab w:val="left" w:pos="3118"/>
      </w:tabs>
      <w:ind w:left="3685" w:hanging="1701"/>
    </w:pPr>
  </w:style>
  <w:style w:type="paragraph" w:customStyle="1" w:styleId="PointTriple4">
    <w:name w:val="PointTriple 4"/>
    <w:basedOn w:val="Normal"/>
    <w:rsid w:val="005643CD"/>
    <w:pPr>
      <w:tabs>
        <w:tab w:val="left" w:pos="3118"/>
        <w:tab w:val="left" w:pos="3685"/>
      </w:tabs>
      <w:ind w:left="4252" w:hanging="1701"/>
    </w:pPr>
  </w:style>
  <w:style w:type="paragraph" w:customStyle="1" w:styleId="QuotedNumPar">
    <w:name w:val="Quoted NumPar"/>
    <w:basedOn w:val="Normal"/>
    <w:rsid w:val="005643CD"/>
    <w:pPr>
      <w:ind w:left="1417" w:hanging="567"/>
    </w:pPr>
  </w:style>
  <w:style w:type="paragraph" w:customStyle="1" w:styleId="QuotedText">
    <w:name w:val="Quoted Text"/>
    <w:basedOn w:val="Normal"/>
    <w:rsid w:val="005643CD"/>
    <w:pPr>
      <w:ind w:left="1417"/>
    </w:pPr>
  </w:style>
  <w:style w:type="paragraph" w:customStyle="1" w:styleId="Rfrencecroise">
    <w:name w:val="Référence croisée"/>
    <w:basedOn w:val="Normal"/>
    <w:rsid w:val="005643CD"/>
    <w:pPr>
      <w:spacing w:before="0" w:after="0"/>
      <w:jc w:val="center"/>
    </w:pPr>
  </w:style>
  <w:style w:type="paragraph" w:customStyle="1" w:styleId="Rfrenceinstitutionnelle">
    <w:name w:val="Référence institutionnelle"/>
    <w:basedOn w:val="Normal"/>
    <w:next w:val="Confidentialit"/>
    <w:rsid w:val="005643CD"/>
    <w:pPr>
      <w:spacing w:before="0" w:after="240"/>
      <w:ind w:left="5103"/>
      <w:jc w:val="left"/>
    </w:pPr>
  </w:style>
  <w:style w:type="paragraph" w:customStyle="1" w:styleId="Rfrenceinterinstitutionnelle">
    <w:name w:val="Référence interinstitutionnelle"/>
    <w:basedOn w:val="Normal"/>
    <w:next w:val="Normal"/>
    <w:rsid w:val="005643CD"/>
    <w:pPr>
      <w:spacing w:before="0" w:after="0"/>
      <w:ind w:left="5103"/>
      <w:jc w:val="left"/>
    </w:pPr>
  </w:style>
  <w:style w:type="paragraph" w:customStyle="1" w:styleId="RfrenceinterinstitutionnellePagedecouverture">
    <w:name w:val="Référence interinstitutionnelle (Page de couverture)"/>
    <w:basedOn w:val="Rfrenceinterinstitutionnelle"/>
    <w:next w:val="Confidentialit"/>
    <w:rsid w:val="005643CD"/>
  </w:style>
  <w:style w:type="paragraph" w:customStyle="1" w:styleId="Rfrenceinterne">
    <w:name w:val="Référence interne"/>
    <w:basedOn w:val="Normal"/>
    <w:next w:val="Rfrenceinterinstitutionnelle"/>
    <w:rsid w:val="005643CD"/>
    <w:pPr>
      <w:spacing w:before="0" w:after="0"/>
      <w:ind w:left="5103"/>
      <w:jc w:val="left"/>
    </w:pPr>
  </w:style>
  <w:style w:type="paragraph" w:customStyle="1" w:styleId="SectionTitle">
    <w:name w:val="SectionTitle"/>
    <w:basedOn w:val="Normal"/>
    <w:next w:val="Heading1"/>
    <w:uiPriority w:val="1"/>
    <w:qFormat/>
    <w:rsid w:val="005643CD"/>
    <w:pPr>
      <w:keepNext/>
      <w:spacing w:after="360"/>
      <w:jc w:val="center"/>
    </w:pPr>
    <w:rPr>
      <w:b/>
      <w:smallCaps/>
      <w:sz w:val="28"/>
    </w:rPr>
  </w:style>
  <w:style w:type="paragraph" w:customStyle="1" w:styleId="Sous-titreobjet">
    <w:name w:val="Sous-titre objet"/>
    <w:basedOn w:val="Normal"/>
    <w:rsid w:val="005643CD"/>
    <w:pPr>
      <w:spacing w:before="0" w:after="0"/>
      <w:jc w:val="center"/>
    </w:pPr>
    <w:rPr>
      <w:b/>
    </w:rPr>
  </w:style>
  <w:style w:type="paragraph" w:customStyle="1" w:styleId="Sous-titreobjetPagedecouverture">
    <w:name w:val="Sous-titre objet (Page de couverture)"/>
    <w:basedOn w:val="Sous-titreobjet"/>
    <w:rsid w:val="005643CD"/>
  </w:style>
  <w:style w:type="paragraph" w:customStyle="1" w:styleId="Statut">
    <w:name w:val="Statut"/>
    <w:basedOn w:val="Normal"/>
    <w:next w:val="Normal"/>
    <w:rsid w:val="005643CD"/>
    <w:pPr>
      <w:spacing w:before="360" w:after="0"/>
      <w:jc w:val="center"/>
    </w:pPr>
  </w:style>
  <w:style w:type="paragraph" w:customStyle="1" w:styleId="StatutPagedecouverture">
    <w:name w:val="Statut (Page de couverture)"/>
    <w:basedOn w:val="Statut"/>
    <w:next w:val="Normal"/>
    <w:rsid w:val="005643CD"/>
  </w:style>
  <w:style w:type="paragraph" w:customStyle="1" w:styleId="Supertitre">
    <w:name w:val="Supertitre"/>
    <w:basedOn w:val="Normal"/>
    <w:next w:val="Normal"/>
    <w:rsid w:val="005643CD"/>
    <w:pPr>
      <w:spacing w:before="0" w:after="600"/>
      <w:jc w:val="center"/>
    </w:pPr>
    <w:rPr>
      <w:b/>
    </w:rPr>
  </w:style>
  <w:style w:type="paragraph" w:customStyle="1" w:styleId="TableTitle">
    <w:name w:val="Table Title"/>
    <w:basedOn w:val="Normal"/>
    <w:next w:val="Normal"/>
    <w:uiPriority w:val="1"/>
    <w:rsid w:val="005643CD"/>
    <w:pPr>
      <w:jc w:val="center"/>
    </w:pPr>
    <w:rPr>
      <w:b/>
    </w:rPr>
  </w:style>
  <w:style w:type="paragraph" w:customStyle="1" w:styleId="Text1">
    <w:name w:val="Text 1"/>
    <w:basedOn w:val="Normal"/>
    <w:uiPriority w:val="1"/>
    <w:qFormat/>
    <w:rsid w:val="005643CD"/>
    <w:pPr>
      <w:ind w:left="850"/>
    </w:pPr>
  </w:style>
  <w:style w:type="paragraph" w:customStyle="1" w:styleId="Text2">
    <w:name w:val="Text 2"/>
    <w:basedOn w:val="Normal"/>
    <w:uiPriority w:val="1"/>
    <w:qFormat/>
    <w:rsid w:val="005643CD"/>
    <w:pPr>
      <w:ind w:left="1417"/>
    </w:pPr>
  </w:style>
  <w:style w:type="paragraph" w:customStyle="1" w:styleId="Text3">
    <w:name w:val="Text 3"/>
    <w:basedOn w:val="Normal"/>
    <w:uiPriority w:val="1"/>
    <w:qFormat/>
    <w:rsid w:val="005643CD"/>
    <w:pPr>
      <w:ind w:left="1984"/>
    </w:pPr>
  </w:style>
  <w:style w:type="paragraph" w:customStyle="1" w:styleId="Text4">
    <w:name w:val="Text 4"/>
    <w:basedOn w:val="Normal"/>
    <w:uiPriority w:val="1"/>
    <w:qFormat/>
    <w:rsid w:val="005643CD"/>
    <w:pPr>
      <w:ind w:left="2551"/>
    </w:pPr>
  </w:style>
  <w:style w:type="paragraph" w:customStyle="1" w:styleId="Tiret0">
    <w:name w:val="Tiret 0"/>
    <w:basedOn w:val="Point0"/>
    <w:rsid w:val="005643CD"/>
    <w:pPr>
      <w:numPr>
        <w:numId w:val="19"/>
      </w:numPr>
    </w:pPr>
  </w:style>
  <w:style w:type="paragraph" w:customStyle="1" w:styleId="Tiret1">
    <w:name w:val="Tiret 1"/>
    <w:basedOn w:val="Point1"/>
    <w:rsid w:val="005643CD"/>
    <w:pPr>
      <w:numPr>
        <w:numId w:val="20"/>
      </w:numPr>
    </w:pPr>
  </w:style>
  <w:style w:type="paragraph" w:customStyle="1" w:styleId="Tiret2">
    <w:name w:val="Tiret 2"/>
    <w:basedOn w:val="Point2"/>
    <w:rsid w:val="005643CD"/>
    <w:pPr>
      <w:numPr>
        <w:numId w:val="21"/>
      </w:numPr>
    </w:pPr>
  </w:style>
  <w:style w:type="paragraph" w:customStyle="1" w:styleId="Tiret3">
    <w:name w:val="Tiret 3"/>
    <w:basedOn w:val="Point3"/>
    <w:rsid w:val="005643CD"/>
    <w:pPr>
      <w:numPr>
        <w:numId w:val="22"/>
      </w:numPr>
    </w:pPr>
  </w:style>
  <w:style w:type="paragraph" w:customStyle="1" w:styleId="Tiret4">
    <w:name w:val="Tiret 4"/>
    <w:basedOn w:val="Point4"/>
    <w:rsid w:val="005643CD"/>
    <w:pPr>
      <w:numPr>
        <w:numId w:val="23"/>
      </w:numPr>
    </w:pPr>
  </w:style>
  <w:style w:type="paragraph" w:customStyle="1" w:styleId="Titrearticle">
    <w:name w:val="Titre article"/>
    <w:basedOn w:val="Normal"/>
    <w:next w:val="Normal"/>
    <w:rsid w:val="005643CD"/>
    <w:pPr>
      <w:keepNext/>
      <w:spacing w:before="360"/>
      <w:jc w:val="center"/>
    </w:pPr>
    <w:rPr>
      <w:i/>
    </w:rPr>
  </w:style>
  <w:style w:type="paragraph" w:customStyle="1" w:styleId="Titreobjet">
    <w:name w:val="Titre objet"/>
    <w:basedOn w:val="Normal"/>
    <w:next w:val="Sous-titreobjet"/>
    <w:rsid w:val="005643CD"/>
    <w:pPr>
      <w:spacing w:before="360" w:after="360"/>
      <w:jc w:val="center"/>
    </w:pPr>
    <w:rPr>
      <w:b/>
    </w:rPr>
  </w:style>
  <w:style w:type="paragraph" w:customStyle="1" w:styleId="TitreobjetPagedecouverture">
    <w:name w:val="Titre objet (Page de couverture)"/>
    <w:basedOn w:val="Titreobjet"/>
    <w:next w:val="Sous-titreobjetPagedecouverture"/>
    <w:rsid w:val="005643CD"/>
  </w:style>
  <w:style w:type="paragraph" w:styleId="TOC1">
    <w:name w:val="toc 1"/>
    <w:basedOn w:val="Normal"/>
    <w:next w:val="Normal"/>
    <w:semiHidden/>
    <w:rsid w:val="005643CD"/>
    <w:pPr>
      <w:tabs>
        <w:tab w:val="right" w:leader="dot" w:pos="9071"/>
      </w:tabs>
      <w:spacing w:before="60"/>
      <w:ind w:left="850" w:hanging="850"/>
      <w:jc w:val="left"/>
    </w:pPr>
  </w:style>
  <w:style w:type="paragraph" w:styleId="TOC2">
    <w:name w:val="toc 2"/>
    <w:basedOn w:val="Normal"/>
    <w:next w:val="Normal"/>
    <w:semiHidden/>
    <w:rsid w:val="005643CD"/>
    <w:pPr>
      <w:tabs>
        <w:tab w:val="right" w:leader="dot" w:pos="9071"/>
      </w:tabs>
      <w:spacing w:before="60"/>
      <w:ind w:left="850" w:hanging="850"/>
      <w:jc w:val="left"/>
    </w:pPr>
  </w:style>
  <w:style w:type="paragraph" w:styleId="TOC3">
    <w:name w:val="toc 3"/>
    <w:basedOn w:val="Normal"/>
    <w:next w:val="Normal"/>
    <w:semiHidden/>
    <w:rsid w:val="005643CD"/>
    <w:pPr>
      <w:tabs>
        <w:tab w:val="right" w:leader="dot" w:pos="9071"/>
      </w:tabs>
      <w:spacing w:before="60"/>
      <w:ind w:left="850" w:hanging="850"/>
      <w:jc w:val="left"/>
    </w:pPr>
  </w:style>
  <w:style w:type="paragraph" w:styleId="TOC4">
    <w:name w:val="toc 4"/>
    <w:basedOn w:val="Normal"/>
    <w:next w:val="Normal"/>
    <w:semiHidden/>
    <w:rsid w:val="005643CD"/>
    <w:pPr>
      <w:tabs>
        <w:tab w:val="right" w:leader="dot" w:pos="9071"/>
      </w:tabs>
      <w:spacing w:before="60"/>
      <w:ind w:left="850" w:hanging="850"/>
      <w:jc w:val="left"/>
    </w:pPr>
  </w:style>
  <w:style w:type="paragraph" w:styleId="TOC5">
    <w:name w:val="toc 5"/>
    <w:basedOn w:val="Normal"/>
    <w:next w:val="Normal"/>
    <w:semiHidden/>
    <w:rsid w:val="005643CD"/>
    <w:pPr>
      <w:tabs>
        <w:tab w:val="right" w:leader="dot" w:pos="9071"/>
      </w:tabs>
      <w:spacing w:before="300"/>
      <w:jc w:val="left"/>
    </w:pPr>
  </w:style>
  <w:style w:type="paragraph" w:styleId="TOC6">
    <w:name w:val="toc 6"/>
    <w:basedOn w:val="Normal"/>
    <w:next w:val="Normal"/>
    <w:semiHidden/>
    <w:rsid w:val="005643CD"/>
    <w:pPr>
      <w:tabs>
        <w:tab w:val="right" w:leader="dot" w:pos="9071"/>
      </w:tabs>
      <w:spacing w:before="240"/>
      <w:jc w:val="left"/>
    </w:pPr>
  </w:style>
  <w:style w:type="paragraph" w:styleId="TOC7">
    <w:name w:val="toc 7"/>
    <w:basedOn w:val="Normal"/>
    <w:next w:val="Normal"/>
    <w:semiHidden/>
    <w:rsid w:val="005643CD"/>
    <w:pPr>
      <w:tabs>
        <w:tab w:val="right" w:leader="dot" w:pos="9071"/>
      </w:tabs>
      <w:spacing w:before="180"/>
      <w:jc w:val="left"/>
    </w:pPr>
  </w:style>
  <w:style w:type="paragraph" w:styleId="TOC8">
    <w:name w:val="toc 8"/>
    <w:basedOn w:val="Normal"/>
    <w:next w:val="Normal"/>
    <w:semiHidden/>
    <w:rsid w:val="005643CD"/>
    <w:pPr>
      <w:tabs>
        <w:tab w:val="right" w:leader="dot" w:pos="9071"/>
      </w:tabs>
      <w:jc w:val="left"/>
    </w:pPr>
  </w:style>
  <w:style w:type="paragraph" w:styleId="TOC9">
    <w:name w:val="toc 9"/>
    <w:basedOn w:val="Normal"/>
    <w:next w:val="Normal"/>
    <w:semiHidden/>
    <w:rsid w:val="005643CD"/>
    <w:pPr>
      <w:tabs>
        <w:tab w:val="right" w:leader="dot" w:pos="9071"/>
      </w:tabs>
    </w:pPr>
  </w:style>
  <w:style w:type="paragraph" w:styleId="TOCHeading">
    <w:name w:val="TOC Heading"/>
    <w:basedOn w:val="Normal"/>
    <w:next w:val="Normal"/>
    <w:qFormat/>
    <w:rsid w:val="005643CD"/>
    <w:pPr>
      <w:spacing w:after="240"/>
      <w:jc w:val="center"/>
    </w:pPr>
    <w:rPr>
      <w:b/>
      <w:sz w:val="28"/>
    </w:rPr>
  </w:style>
  <w:style w:type="paragraph" w:customStyle="1" w:styleId="Typeacteprincipal">
    <w:name w:val="Type acte principal"/>
    <w:basedOn w:val="Normal"/>
    <w:next w:val="Objetacteprincipal"/>
    <w:rsid w:val="005643CD"/>
    <w:pPr>
      <w:spacing w:before="0" w:after="240"/>
      <w:jc w:val="center"/>
    </w:pPr>
    <w:rPr>
      <w:b/>
    </w:rPr>
  </w:style>
  <w:style w:type="paragraph" w:customStyle="1" w:styleId="TypeacteprincipalPagedecouverture">
    <w:name w:val="Type acte principal (Page de couverture)"/>
    <w:basedOn w:val="Typeacteprincipal"/>
    <w:next w:val="ObjetacteprincipalPagedecouverture"/>
    <w:rsid w:val="005643CD"/>
  </w:style>
  <w:style w:type="paragraph" w:customStyle="1" w:styleId="Typedudocument">
    <w:name w:val="Type du document"/>
    <w:basedOn w:val="Normal"/>
    <w:next w:val="Titreobjet"/>
    <w:rsid w:val="005643CD"/>
    <w:pPr>
      <w:spacing w:before="360" w:after="0"/>
      <w:jc w:val="center"/>
    </w:pPr>
    <w:rPr>
      <w:b/>
    </w:rPr>
  </w:style>
  <w:style w:type="paragraph" w:customStyle="1" w:styleId="TypedudocumentPagedecouverture">
    <w:name w:val="Type du document (Page de couverture)"/>
    <w:basedOn w:val="Typedudocument"/>
    <w:next w:val="TitreobjetPagedecouverture"/>
    <w:rsid w:val="005643CD"/>
  </w:style>
  <w:style w:type="paragraph" w:customStyle="1" w:styleId="Volume">
    <w:name w:val="Volume"/>
    <w:basedOn w:val="Normal"/>
    <w:next w:val="Confidentialit"/>
    <w:rsid w:val="005643CD"/>
    <w:pPr>
      <w:spacing w:before="0" w:after="240"/>
      <w:ind w:left="5103"/>
      <w:jc w:val="left"/>
    </w:pPr>
  </w:style>
  <w:style w:type="character" w:customStyle="1" w:styleId="Heading5Char">
    <w:name w:val="Heading 5 Char"/>
    <w:basedOn w:val="DefaultParagraphFont"/>
    <w:link w:val="Heading5"/>
    <w:semiHidden/>
    <w:rsid w:val="00517B47"/>
    <w:rPr>
      <w:sz w:val="24"/>
      <w:lang w:eastAsia="en-IE"/>
    </w:rPr>
  </w:style>
  <w:style w:type="character" w:customStyle="1" w:styleId="Heading6Char">
    <w:name w:val="Heading 6 Char"/>
    <w:basedOn w:val="DefaultParagraphFont"/>
    <w:link w:val="Heading6"/>
    <w:semiHidden/>
    <w:rsid w:val="00517B47"/>
    <w:rPr>
      <w:sz w:val="24"/>
      <w:lang w:eastAsia="en-IE"/>
    </w:rPr>
  </w:style>
  <w:style w:type="character" w:customStyle="1" w:styleId="Heading7Char">
    <w:name w:val="Heading 7 Char"/>
    <w:basedOn w:val="DefaultParagraphFont"/>
    <w:link w:val="Heading7"/>
    <w:semiHidden/>
    <w:rsid w:val="00517B47"/>
    <w:rPr>
      <w:sz w:val="24"/>
      <w:lang w:eastAsia="en-IE"/>
    </w:rPr>
  </w:style>
  <w:style w:type="character" w:customStyle="1" w:styleId="Heading8Char">
    <w:name w:val="Heading 8 Char"/>
    <w:basedOn w:val="DefaultParagraphFont"/>
    <w:link w:val="Heading8"/>
    <w:semiHidden/>
    <w:rsid w:val="00517B47"/>
    <w:rPr>
      <w:sz w:val="24"/>
      <w:lang w:eastAsia="en-IE"/>
    </w:rPr>
  </w:style>
  <w:style w:type="character" w:customStyle="1" w:styleId="Heading9Char">
    <w:name w:val="Heading 9 Char"/>
    <w:basedOn w:val="DefaultParagraphFont"/>
    <w:link w:val="Heading9"/>
    <w:semiHidden/>
    <w:rsid w:val="00517B47"/>
    <w:rPr>
      <w:sz w:val="24"/>
      <w:lang w:eastAsia="en-IE"/>
    </w:rPr>
  </w:style>
  <w:style w:type="paragraph" w:styleId="ListParagraph">
    <w:name w:val="List Paragraph"/>
    <w:basedOn w:val="Normal"/>
    <w:link w:val="ListParagraphChar"/>
    <w:uiPriority w:val="34"/>
    <w:qFormat/>
    <w:rsid w:val="00517B47"/>
    <w:pPr>
      <w:spacing w:before="0" w:after="160" w:line="259" w:lineRule="auto"/>
      <w:ind w:left="720"/>
      <w:contextualSpacing/>
      <w:jc w:val="left"/>
    </w:pPr>
    <w:rPr>
      <w:rFonts w:ascii="Calibri" w:eastAsia="Calibri" w:hAnsi="Calibri"/>
      <w:sz w:val="22"/>
      <w:szCs w:val="22"/>
      <w:lang w:eastAsia="en-GB"/>
    </w:rPr>
  </w:style>
  <w:style w:type="character" w:customStyle="1" w:styleId="FootnoteTextChar">
    <w:name w:val="Footnote Text Char"/>
    <w:uiPriority w:val="99"/>
    <w:rsid w:val="00517B47"/>
    <w:rPr>
      <w:sz w:val="20"/>
    </w:rPr>
  </w:style>
  <w:style w:type="character" w:styleId="Hyperlink">
    <w:name w:val="Hyperlink"/>
    <w:rsid w:val="00517B47"/>
    <w:rPr>
      <w:color w:val="0563C1"/>
      <w:u w:val="single"/>
    </w:rPr>
  </w:style>
  <w:style w:type="paragraph" w:styleId="BalloonText">
    <w:name w:val="Balloon Text"/>
    <w:basedOn w:val="Normal"/>
    <w:link w:val="BalloonTextChar"/>
    <w:rsid w:val="00517B47"/>
    <w:pPr>
      <w:spacing w:before="0" w:after="0"/>
      <w:jc w:val="left"/>
    </w:pPr>
    <w:rPr>
      <w:rFonts w:ascii="Segoe UI" w:eastAsia="Calibri" w:hAnsi="Segoe UI" w:cs="Segoe UI"/>
      <w:sz w:val="18"/>
      <w:szCs w:val="18"/>
      <w:lang w:eastAsia="en-GB"/>
    </w:rPr>
  </w:style>
  <w:style w:type="character" w:customStyle="1" w:styleId="BalloonTextChar">
    <w:name w:val="Balloon Text Char"/>
    <w:basedOn w:val="DefaultParagraphFont"/>
    <w:link w:val="BalloonText"/>
    <w:rsid w:val="00517B47"/>
    <w:rPr>
      <w:rFonts w:ascii="Segoe UI" w:eastAsia="Calibri" w:hAnsi="Segoe UI" w:cs="Segoe UI"/>
      <w:sz w:val="18"/>
      <w:szCs w:val="18"/>
    </w:rPr>
  </w:style>
  <w:style w:type="character" w:customStyle="1" w:styleId="FooterChar">
    <w:name w:val="Footer Char"/>
    <w:rsid w:val="00517B47"/>
    <w:rPr>
      <w:sz w:val="16"/>
    </w:rPr>
  </w:style>
  <w:style w:type="character" w:styleId="CommentReference">
    <w:name w:val="annotation reference"/>
    <w:uiPriority w:val="99"/>
    <w:rsid w:val="00517B47"/>
    <w:rPr>
      <w:sz w:val="16"/>
      <w:szCs w:val="16"/>
    </w:rPr>
  </w:style>
  <w:style w:type="paragraph" w:styleId="CommentText">
    <w:name w:val="annotation text"/>
    <w:basedOn w:val="Normal"/>
    <w:link w:val="CommentTextChar"/>
    <w:uiPriority w:val="99"/>
    <w:rsid w:val="00517B47"/>
    <w:pPr>
      <w:spacing w:before="0" w:after="160"/>
      <w:jc w:val="left"/>
    </w:pPr>
    <w:rPr>
      <w:rFonts w:ascii="Calibri" w:eastAsia="Calibri" w:hAnsi="Calibri"/>
      <w:sz w:val="20"/>
      <w:szCs w:val="20"/>
      <w:lang w:eastAsia="en-GB"/>
    </w:rPr>
  </w:style>
  <w:style w:type="character" w:customStyle="1" w:styleId="CommentTextChar">
    <w:name w:val="Comment Text Char"/>
    <w:basedOn w:val="DefaultParagraphFont"/>
    <w:link w:val="CommentText"/>
    <w:uiPriority w:val="99"/>
    <w:rsid w:val="00517B47"/>
    <w:rPr>
      <w:rFonts w:ascii="Calibri" w:eastAsia="Calibri" w:hAnsi="Calibri"/>
    </w:rPr>
  </w:style>
  <w:style w:type="paragraph" w:styleId="CommentSubject">
    <w:name w:val="annotation subject"/>
    <w:basedOn w:val="CommentText"/>
    <w:next w:val="CommentText"/>
    <w:link w:val="CommentSubjectChar"/>
    <w:rsid w:val="00517B47"/>
    <w:rPr>
      <w:b/>
      <w:bCs/>
    </w:rPr>
  </w:style>
  <w:style w:type="character" w:customStyle="1" w:styleId="CommentSubjectChar">
    <w:name w:val="Comment Subject Char"/>
    <w:basedOn w:val="CommentTextChar"/>
    <w:link w:val="CommentSubject"/>
    <w:rsid w:val="00517B47"/>
    <w:rPr>
      <w:rFonts w:ascii="Calibri" w:eastAsia="Calibri" w:hAnsi="Calibri"/>
      <w:b/>
      <w:bCs/>
    </w:rPr>
  </w:style>
  <w:style w:type="character" w:styleId="FollowedHyperlink">
    <w:name w:val="FollowedHyperlink"/>
    <w:rsid w:val="00517B47"/>
    <w:rPr>
      <w:color w:val="954F72"/>
      <w:u w:val="single"/>
    </w:rPr>
  </w:style>
  <w:style w:type="table" w:customStyle="1" w:styleId="TableGrid1">
    <w:name w:val="Table Grid1"/>
    <w:basedOn w:val="TableNormal"/>
    <w:next w:val="TableGrid"/>
    <w:rsid w:val="00517B4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rsid w:val="00517B47"/>
    <w:rPr>
      <w:rFonts w:ascii="Calibri" w:eastAsia="Calibri" w:hAnsi="Calibri"/>
      <w:sz w:val="22"/>
      <w:szCs w:val="22"/>
    </w:rPr>
  </w:style>
  <w:style w:type="character" w:styleId="Strong">
    <w:name w:val="Strong"/>
    <w:qFormat/>
    <w:rsid w:val="00517B47"/>
    <w:rPr>
      <w:b/>
      <w:bCs/>
    </w:rPr>
  </w:style>
  <w:style w:type="character" w:customStyle="1" w:styleId="Mention1">
    <w:name w:val="Mention1"/>
    <w:rsid w:val="00517B47"/>
    <w:rPr>
      <w:color w:val="2B579A"/>
      <w:shd w:val="clear" w:color="auto" w:fill="E6E6E6"/>
    </w:rPr>
  </w:style>
  <w:style w:type="character" w:customStyle="1" w:styleId="normaltextrun">
    <w:name w:val="normaltextrun"/>
    <w:basedOn w:val="DefaultParagraphFont"/>
    <w:rsid w:val="00517B47"/>
  </w:style>
  <w:style w:type="character" w:customStyle="1" w:styleId="Heading2Char">
    <w:name w:val="Heading 2 Char"/>
    <w:uiPriority w:val="1"/>
    <w:rsid w:val="00517B47"/>
    <w:rPr>
      <w:b/>
    </w:rPr>
  </w:style>
  <w:style w:type="paragraph" w:customStyle="1" w:styleId="FooterCoverPage">
    <w:name w:val="Footer Cover Page"/>
    <w:basedOn w:val="Normal"/>
    <w:link w:val="FooterCoverPageChar"/>
    <w:rsid w:val="00517B47"/>
    <w:pPr>
      <w:keepNext/>
      <w:tabs>
        <w:tab w:val="center" w:pos="4535"/>
        <w:tab w:val="right" w:pos="9071"/>
        <w:tab w:val="right" w:pos="9921"/>
      </w:tabs>
      <w:spacing w:before="360" w:after="0"/>
      <w:ind w:left="-850" w:right="-850" w:hanging="360"/>
      <w:jc w:val="left"/>
      <w:outlineLvl w:val="0"/>
    </w:pPr>
  </w:style>
  <w:style w:type="character" w:customStyle="1" w:styleId="ListParagraphChar">
    <w:name w:val="List Paragraph Char"/>
    <w:link w:val="ListParagraph"/>
    <w:uiPriority w:val="34"/>
    <w:rsid w:val="00517B47"/>
    <w:rPr>
      <w:rFonts w:ascii="Calibri" w:eastAsia="Calibri" w:hAnsi="Calibri"/>
      <w:sz w:val="22"/>
      <w:szCs w:val="22"/>
    </w:rPr>
  </w:style>
  <w:style w:type="character" w:customStyle="1" w:styleId="FooterCoverPageChar">
    <w:name w:val="Footer Cover Page Char"/>
    <w:link w:val="FooterCoverPage"/>
    <w:rsid w:val="00517B47"/>
    <w:rPr>
      <w:sz w:val="24"/>
      <w:szCs w:val="24"/>
      <w:lang w:eastAsia="en-US"/>
    </w:rPr>
  </w:style>
  <w:style w:type="paragraph" w:customStyle="1" w:styleId="FooterSensitivity">
    <w:name w:val="Footer Sensitivity"/>
    <w:basedOn w:val="Normal"/>
    <w:link w:val="FooterSensitivityChar"/>
    <w:rsid w:val="00517B47"/>
    <w:pPr>
      <w:keepNext/>
      <w:pBdr>
        <w:top w:val="single" w:sz="4" w:space="1" w:color="auto"/>
        <w:left w:val="single" w:sz="4" w:space="4" w:color="auto"/>
        <w:bottom w:val="single" w:sz="4" w:space="1" w:color="auto"/>
        <w:right w:val="single" w:sz="4" w:space="4" w:color="auto"/>
      </w:pBdr>
      <w:spacing w:before="360" w:after="0"/>
      <w:ind w:left="113" w:right="113" w:hanging="360"/>
      <w:jc w:val="center"/>
      <w:outlineLvl w:val="0"/>
    </w:pPr>
    <w:rPr>
      <w:b/>
      <w:sz w:val="32"/>
    </w:rPr>
  </w:style>
  <w:style w:type="character" w:customStyle="1" w:styleId="FooterSensitivityChar">
    <w:name w:val="Footer Sensitivity Char"/>
    <w:link w:val="FooterSensitivity"/>
    <w:rsid w:val="00517B47"/>
    <w:rPr>
      <w:b/>
      <w:sz w:val="32"/>
      <w:szCs w:val="24"/>
      <w:lang w:eastAsia="en-US"/>
    </w:rPr>
  </w:style>
  <w:style w:type="paragraph" w:customStyle="1" w:styleId="HeaderCoverPage">
    <w:name w:val="Header Cover Page"/>
    <w:basedOn w:val="Normal"/>
    <w:link w:val="HeaderCoverPageChar"/>
    <w:rsid w:val="00517B47"/>
    <w:pPr>
      <w:keepNext/>
      <w:tabs>
        <w:tab w:val="center" w:pos="4535"/>
        <w:tab w:val="right" w:pos="9071"/>
      </w:tabs>
      <w:spacing w:before="0"/>
      <w:ind w:hanging="360"/>
      <w:outlineLvl w:val="0"/>
    </w:pPr>
  </w:style>
  <w:style w:type="character" w:customStyle="1" w:styleId="HeaderCoverPageChar">
    <w:name w:val="Header Cover Page Char"/>
    <w:link w:val="HeaderCoverPage"/>
    <w:rsid w:val="00517B47"/>
    <w:rPr>
      <w:sz w:val="24"/>
      <w:szCs w:val="24"/>
      <w:lang w:eastAsia="en-US"/>
    </w:rPr>
  </w:style>
  <w:style w:type="paragraph" w:customStyle="1" w:styleId="HeaderSensitivity">
    <w:name w:val="Header Sensitivity"/>
    <w:basedOn w:val="Normal"/>
    <w:link w:val="HeaderSensitivityChar"/>
    <w:rsid w:val="00517B47"/>
    <w:pPr>
      <w:keepNext/>
      <w:pBdr>
        <w:top w:val="single" w:sz="4" w:space="1" w:color="auto"/>
        <w:left w:val="single" w:sz="4" w:space="4" w:color="auto"/>
        <w:bottom w:val="single" w:sz="4" w:space="1" w:color="auto"/>
        <w:right w:val="single" w:sz="4" w:space="4" w:color="auto"/>
      </w:pBdr>
      <w:spacing w:before="0"/>
      <w:ind w:left="113" w:right="113" w:hanging="360"/>
      <w:jc w:val="center"/>
      <w:outlineLvl w:val="0"/>
    </w:pPr>
    <w:rPr>
      <w:b/>
      <w:sz w:val="32"/>
    </w:rPr>
  </w:style>
  <w:style w:type="character" w:customStyle="1" w:styleId="HeaderSensitivityChar">
    <w:name w:val="Header Sensitivity Char"/>
    <w:link w:val="HeaderSensitivity"/>
    <w:rsid w:val="00517B47"/>
    <w:rPr>
      <w:b/>
      <w:sz w:val="32"/>
      <w:szCs w:val="24"/>
      <w:lang w:eastAsia="en-US"/>
    </w:rPr>
  </w:style>
  <w:style w:type="paragraph" w:customStyle="1" w:styleId="HeaderSensitivityRight">
    <w:name w:val="Header Sensitivity Right"/>
    <w:basedOn w:val="Normal"/>
    <w:link w:val="HeaderSensitivityRightChar"/>
    <w:rsid w:val="00517B47"/>
    <w:pPr>
      <w:keepNext/>
      <w:numPr>
        <w:numId w:val="24"/>
      </w:numPr>
      <w:spacing w:before="0"/>
      <w:ind w:left="0"/>
      <w:jc w:val="right"/>
      <w:outlineLvl w:val="0"/>
    </w:pPr>
    <w:rPr>
      <w:sz w:val="28"/>
    </w:rPr>
  </w:style>
  <w:style w:type="character" w:customStyle="1" w:styleId="HeaderSensitivityRightChar">
    <w:name w:val="Header Sensitivity Right Char"/>
    <w:link w:val="HeaderSensitivityRight"/>
    <w:rsid w:val="00517B47"/>
    <w:rPr>
      <w:sz w:val="28"/>
      <w:szCs w:val="24"/>
      <w:lang w:eastAsia="en-US"/>
    </w:rPr>
  </w:style>
  <w:style w:type="character" w:customStyle="1" w:styleId="UnresolvedMention1">
    <w:name w:val="Unresolved Mention1"/>
    <w:locked/>
    <w:rsid w:val="00517B47"/>
    <w:rPr>
      <w:color w:val="605E5C"/>
      <w:shd w:val="clear" w:color="auto" w:fill="E1DFDD"/>
    </w:rPr>
  </w:style>
  <w:style w:type="character" w:customStyle="1" w:styleId="BodyPlaceholderText">
    <w:name w:val="BodyPlaceholderText"/>
    <w:basedOn w:val="PlaceholderText"/>
    <w:semiHidden/>
    <w:rsid w:val="00517B47"/>
    <w:rPr>
      <w:color w:val="3366CC"/>
    </w:rPr>
  </w:style>
  <w:style w:type="character" w:customStyle="1" w:styleId="CrossReference">
    <w:name w:val="Cross Reference"/>
    <w:basedOn w:val="DefaultParagraphFont"/>
    <w:uiPriority w:val="2"/>
    <w:rsid w:val="00517B47"/>
    <w:rPr>
      <w:i/>
    </w:rPr>
  </w:style>
  <w:style w:type="character" w:customStyle="1" w:styleId="InstructionBlue">
    <w:name w:val="InstructionBlue"/>
    <w:uiPriority w:val="1"/>
    <w:rsid w:val="00517B47"/>
    <w:rPr>
      <w:i/>
      <w:color w:val="3366CC"/>
    </w:rPr>
  </w:style>
  <w:style w:type="character" w:customStyle="1" w:styleId="InstructionPlaceholder">
    <w:name w:val="InstructionPlaceholder"/>
    <w:uiPriority w:val="1"/>
    <w:rsid w:val="00517B47"/>
    <w:rPr>
      <w:color w:val="CB3535"/>
    </w:rPr>
  </w:style>
  <w:style w:type="character" w:customStyle="1" w:styleId="InstructionRed">
    <w:name w:val="InstructionRed"/>
    <w:uiPriority w:val="1"/>
    <w:rsid w:val="00517B47"/>
    <w:rPr>
      <w:i/>
      <w:color w:val="CB3535"/>
    </w:rPr>
  </w:style>
  <w:style w:type="character" w:customStyle="1" w:styleId="MarkingLabel">
    <w:name w:val="MarkingLabel"/>
    <w:semiHidden/>
    <w:rsid w:val="00517B47"/>
    <w:rPr>
      <w:b/>
      <w:caps/>
      <w:sz w:val="28"/>
    </w:rPr>
  </w:style>
  <w:style w:type="character" w:customStyle="1" w:styleId="MarkingText">
    <w:name w:val="MarkingText"/>
    <w:semiHidden/>
    <w:rsid w:val="00517B47"/>
    <w:rPr>
      <w:i/>
      <w:sz w:val="28"/>
    </w:rPr>
  </w:style>
  <w:style w:type="character" w:styleId="PlaceholderText">
    <w:name w:val="Placeholder Text"/>
    <w:basedOn w:val="DefaultParagraphFont"/>
    <w:semiHidden/>
    <w:rsid w:val="00517B47"/>
    <w:rPr>
      <w:color w:val="288061"/>
    </w:rPr>
  </w:style>
  <w:style w:type="paragraph" w:customStyle="1" w:styleId="AfterTable">
    <w:name w:val="After Table"/>
    <w:semiHidden/>
    <w:rsid w:val="00517B47"/>
    <w:rPr>
      <w:sz w:val="4"/>
      <w:lang w:eastAsia="en-IE"/>
    </w:rPr>
  </w:style>
  <w:style w:type="paragraph" w:customStyle="1" w:styleId="AnnexTitle">
    <w:name w:val="AnnexTitle"/>
    <w:basedOn w:val="Normal"/>
    <w:next w:val="Normal"/>
    <w:uiPriority w:val="1"/>
    <w:qFormat/>
    <w:rsid w:val="00517B47"/>
    <w:pPr>
      <w:pageBreakBefore/>
      <w:numPr>
        <w:numId w:val="43"/>
      </w:numPr>
      <w:spacing w:before="0" w:after="480"/>
      <w:outlineLvl w:val="0"/>
    </w:pPr>
    <w:rPr>
      <w:b/>
      <w:sz w:val="32"/>
      <w:szCs w:val="20"/>
      <w:lang w:eastAsia="en-IE"/>
    </w:rPr>
  </w:style>
  <w:style w:type="paragraph" w:styleId="Caption">
    <w:name w:val="caption"/>
    <w:basedOn w:val="Normal"/>
    <w:next w:val="Normal"/>
    <w:semiHidden/>
    <w:rsid w:val="00517B47"/>
    <w:pPr>
      <w:spacing w:before="160" w:after="240"/>
    </w:pPr>
    <w:rPr>
      <w:i/>
      <w:sz w:val="22"/>
      <w:szCs w:val="20"/>
      <w:lang w:eastAsia="en-IE"/>
    </w:rPr>
  </w:style>
  <w:style w:type="paragraph" w:customStyle="1" w:styleId="ConfidentialUE">
    <w:name w:val="Confidential UE"/>
    <w:basedOn w:val="Normal"/>
    <w:semiHidden/>
    <w:rsid w:val="00517B47"/>
    <w:pPr>
      <w:spacing w:before="0" w:after="0"/>
      <w:jc w:val="center"/>
    </w:pPr>
    <w:rPr>
      <w:b/>
      <w:caps/>
      <w:sz w:val="32"/>
      <w:szCs w:val="20"/>
      <w:bdr w:val="single" w:sz="18" w:space="0" w:color="auto"/>
      <w:lang w:eastAsia="en-IE"/>
    </w:rPr>
  </w:style>
  <w:style w:type="paragraph" w:customStyle="1" w:styleId="Contact">
    <w:name w:val="Contact"/>
    <w:basedOn w:val="Normal"/>
    <w:uiPriority w:val="1"/>
    <w:rsid w:val="00517B47"/>
    <w:pPr>
      <w:spacing w:before="480" w:after="0"/>
      <w:ind w:left="567" w:hanging="567"/>
      <w:contextualSpacing/>
      <w:jc w:val="left"/>
    </w:pPr>
    <w:rPr>
      <w:szCs w:val="20"/>
      <w:lang w:eastAsia="en-IE"/>
    </w:rPr>
  </w:style>
  <w:style w:type="paragraph" w:customStyle="1" w:styleId="ContNum">
    <w:name w:val="ContNum"/>
    <w:basedOn w:val="Normal"/>
    <w:uiPriority w:val="1"/>
    <w:qFormat/>
    <w:rsid w:val="00517B47"/>
    <w:pPr>
      <w:numPr>
        <w:numId w:val="42"/>
      </w:numPr>
      <w:spacing w:before="0" w:after="240"/>
    </w:pPr>
    <w:rPr>
      <w:szCs w:val="20"/>
      <w:lang w:eastAsia="en-IE"/>
    </w:rPr>
  </w:style>
  <w:style w:type="paragraph" w:customStyle="1" w:styleId="ContNumLevel2">
    <w:name w:val="ContNum (Level 2)"/>
    <w:basedOn w:val="Normal"/>
    <w:uiPriority w:val="1"/>
    <w:rsid w:val="00517B47"/>
    <w:pPr>
      <w:numPr>
        <w:ilvl w:val="1"/>
        <w:numId w:val="42"/>
      </w:numPr>
      <w:spacing w:before="0" w:after="240"/>
    </w:pPr>
    <w:rPr>
      <w:szCs w:val="20"/>
      <w:lang w:eastAsia="en-IE"/>
    </w:rPr>
  </w:style>
  <w:style w:type="paragraph" w:customStyle="1" w:styleId="ContNumLevel3">
    <w:name w:val="ContNum (Level 3)"/>
    <w:basedOn w:val="Normal"/>
    <w:uiPriority w:val="1"/>
    <w:rsid w:val="00517B47"/>
    <w:pPr>
      <w:numPr>
        <w:ilvl w:val="2"/>
        <w:numId w:val="42"/>
      </w:numPr>
      <w:spacing w:before="0" w:after="240"/>
    </w:pPr>
    <w:rPr>
      <w:szCs w:val="20"/>
      <w:lang w:eastAsia="en-IE"/>
    </w:rPr>
  </w:style>
  <w:style w:type="paragraph" w:styleId="Date">
    <w:name w:val="Date"/>
    <w:basedOn w:val="Normal"/>
    <w:next w:val="References"/>
    <w:link w:val="DateChar"/>
    <w:uiPriority w:val="1"/>
    <w:rsid w:val="00517B47"/>
    <w:pPr>
      <w:spacing w:before="0" w:after="0"/>
      <w:ind w:left="5102" w:right="-567"/>
      <w:jc w:val="left"/>
    </w:pPr>
    <w:rPr>
      <w:szCs w:val="20"/>
      <w:lang w:eastAsia="en-IE"/>
    </w:rPr>
  </w:style>
  <w:style w:type="character" w:customStyle="1" w:styleId="DateChar">
    <w:name w:val="Date Char"/>
    <w:basedOn w:val="DefaultParagraphFont"/>
    <w:link w:val="Date"/>
    <w:uiPriority w:val="1"/>
    <w:rsid w:val="00517B47"/>
    <w:rPr>
      <w:sz w:val="24"/>
      <w:lang w:eastAsia="en-IE"/>
    </w:rPr>
  </w:style>
  <w:style w:type="paragraph" w:customStyle="1" w:styleId="Designator">
    <w:name w:val="Designator"/>
    <w:basedOn w:val="Normal"/>
    <w:semiHidden/>
    <w:rsid w:val="00517B47"/>
    <w:pPr>
      <w:spacing w:before="0" w:after="0"/>
      <w:jc w:val="center"/>
    </w:pPr>
    <w:rPr>
      <w:b/>
      <w:caps/>
      <w:sz w:val="32"/>
      <w:szCs w:val="20"/>
      <w:lang w:eastAsia="en-IE"/>
    </w:rPr>
  </w:style>
  <w:style w:type="paragraph" w:customStyle="1" w:styleId="DoubSign">
    <w:name w:val="DoubSign"/>
    <w:basedOn w:val="Normal"/>
    <w:uiPriority w:val="2"/>
    <w:rsid w:val="00517B47"/>
    <w:pPr>
      <w:spacing w:before="1200" w:after="0"/>
      <w:jc w:val="left"/>
    </w:pPr>
    <w:rPr>
      <w:szCs w:val="20"/>
      <w:lang w:eastAsia="en-IE"/>
    </w:rPr>
  </w:style>
  <w:style w:type="paragraph" w:customStyle="1" w:styleId="EmptyParagraph">
    <w:name w:val="Empty Paragraph"/>
    <w:basedOn w:val="Normal"/>
    <w:next w:val="Normal"/>
    <w:semiHidden/>
    <w:rsid w:val="00517B47"/>
    <w:pPr>
      <w:spacing w:before="240" w:after="240"/>
    </w:pPr>
    <w:rPr>
      <w:szCs w:val="20"/>
      <w:lang w:eastAsia="en-IE"/>
    </w:rPr>
  </w:style>
  <w:style w:type="paragraph" w:styleId="EndnoteText">
    <w:name w:val="endnote text"/>
    <w:basedOn w:val="Normal"/>
    <w:link w:val="EndnoteTextChar"/>
    <w:unhideWhenUsed/>
    <w:rsid w:val="00517B47"/>
    <w:pPr>
      <w:spacing w:before="0" w:after="240"/>
    </w:pPr>
    <w:rPr>
      <w:sz w:val="20"/>
      <w:szCs w:val="20"/>
      <w:lang w:eastAsia="en-IE"/>
    </w:rPr>
  </w:style>
  <w:style w:type="character" w:customStyle="1" w:styleId="EndnoteTextChar">
    <w:name w:val="Endnote Text Char"/>
    <w:basedOn w:val="DefaultParagraphFont"/>
    <w:link w:val="EndnoteText"/>
    <w:rsid w:val="00517B47"/>
    <w:rPr>
      <w:lang w:eastAsia="en-IE"/>
    </w:rPr>
  </w:style>
  <w:style w:type="paragraph" w:customStyle="1" w:styleId="FigureBody">
    <w:name w:val="Figure Body"/>
    <w:basedOn w:val="Normal"/>
    <w:next w:val="FigureSource"/>
    <w:uiPriority w:val="2"/>
    <w:rsid w:val="00517B47"/>
    <w:pPr>
      <w:keepNext/>
      <w:spacing w:before="0" w:after="40"/>
    </w:pPr>
    <w:rPr>
      <w:szCs w:val="20"/>
      <w:lang w:eastAsia="en-IE"/>
    </w:rPr>
  </w:style>
  <w:style w:type="paragraph" w:customStyle="1" w:styleId="FigureBody1">
    <w:name w:val="Figure Body 1"/>
    <w:basedOn w:val="Text1"/>
    <w:next w:val="FigureSource1"/>
    <w:uiPriority w:val="2"/>
    <w:rsid w:val="00517B47"/>
    <w:pPr>
      <w:keepNext/>
      <w:spacing w:before="0" w:after="40"/>
      <w:ind w:left="482"/>
    </w:pPr>
    <w:rPr>
      <w:szCs w:val="20"/>
      <w:lang w:eastAsia="en-IE"/>
    </w:rPr>
  </w:style>
  <w:style w:type="paragraph" w:customStyle="1" w:styleId="FigureBody2">
    <w:name w:val="Figure Body 2"/>
    <w:basedOn w:val="Text2"/>
    <w:next w:val="FigureSource2"/>
    <w:uiPriority w:val="2"/>
    <w:rsid w:val="00517B47"/>
    <w:pPr>
      <w:keepNext/>
      <w:spacing w:before="0" w:after="40"/>
      <w:ind w:left="1202"/>
    </w:pPr>
    <w:rPr>
      <w:szCs w:val="20"/>
      <w:lang w:eastAsia="en-IE"/>
    </w:rPr>
  </w:style>
  <w:style w:type="paragraph" w:customStyle="1" w:styleId="FigureBody3">
    <w:name w:val="Figure Body 3"/>
    <w:basedOn w:val="Text3"/>
    <w:next w:val="FigureSource3"/>
    <w:uiPriority w:val="2"/>
    <w:rsid w:val="00517B47"/>
    <w:pPr>
      <w:keepNext/>
      <w:spacing w:before="0" w:after="40"/>
      <w:ind w:left="1202"/>
    </w:pPr>
    <w:rPr>
      <w:szCs w:val="20"/>
      <w:lang w:eastAsia="en-IE"/>
    </w:rPr>
  </w:style>
  <w:style w:type="paragraph" w:customStyle="1" w:styleId="FigureBody4">
    <w:name w:val="Figure Body 4"/>
    <w:basedOn w:val="Text4"/>
    <w:next w:val="FigureSource4"/>
    <w:uiPriority w:val="2"/>
    <w:rsid w:val="00517B47"/>
    <w:pPr>
      <w:keepNext/>
      <w:spacing w:before="0" w:after="40"/>
      <w:ind w:left="1202"/>
    </w:pPr>
    <w:rPr>
      <w:szCs w:val="20"/>
      <w:lang w:eastAsia="en-IE"/>
    </w:rPr>
  </w:style>
  <w:style w:type="paragraph" w:customStyle="1" w:styleId="FigureSource">
    <w:name w:val="Figure Source"/>
    <w:basedOn w:val="Normal"/>
    <w:next w:val="Normal"/>
    <w:uiPriority w:val="2"/>
    <w:rsid w:val="00517B47"/>
    <w:pPr>
      <w:spacing w:before="0" w:after="240"/>
    </w:pPr>
    <w:rPr>
      <w:sz w:val="20"/>
      <w:szCs w:val="20"/>
      <w:lang w:eastAsia="en-IE"/>
    </w:rPr>
  </w:style>
  <w:style w:type="paragraph" w:customStyle="1" w:styleId="FigureSource1">
    <w:name w:val="Figure Source 1"/>
    <w:basedOn w:val="Text1"/>
    <w:next w:val="Text1"/>
    <w:uiPriority w:val="2"/>
    <w:rsid w:val="00517B47"/>
    <w:pPr>
      <w:spacing w:before="0" w:after="240"/>
      <w:ind w:left="482"/>
    </w:pPr>
    <w:rPr>
      <w:sz w:val="20"/>
      <w:szCs w:val="20"/>
      <w:lang w:eastAsia="en-IE"/>
    </w:rPr>
  </w:style>
  <w:style w:type="paragraph" w:customStyle="1" w:styleId="FigureSource2">
    <w:name w:val="Figure Source 2"/>
    <w:basedOn w:val="Text2"/>
    <w:next w:val="Text2"/>
    <w:uiPriority w:val="2"/>
    <w:rsid w:val="00517B47"/>
    <w:pPr>
      <w:spacing w:before="0" w:after="240"/>
      <w:ind w:left="1202"/>
    </w:pPr>
    <w:rPr>
      <w:sz w:val="20"/>
      <w:szCs w:val="20"/>
      <w:lang w:eastAsia="en-IE"/>
    </w:rPr>
  </w:style>
  <w:style w:type="paragraph" w:customStyle="1" w:styleId="FigureSource3">
    <w:name w:val="Figure Source 3"/>
    <w:basedOn w:val="Text3"/>
    <w:next w:val="Text3"/>
    <w:uiPriority w:val="2"/>
    <w:rsid w:val="00517B47"/>
    <w:pPr>
      <w:spacing w:before="0" w:after="240"/>
      <w:ind w:left="1202"/>
    </w:pPr>
    <w:rPr>
      <w:sz w:val="20"/>
      <w:szCs w:val="20"/>
      <w:lang w:eastAsia="en-IE"/>
    </w:rPr>
  </w:style>
  <w:style w:type="paragraph" w:customStyle="1" w:styleId="FigureSource4">
    <w:name w:val="Figure Source 4"/>
    <w:basedOn w:val="Text4"/>
    <w:next w:val="Text4"/>
    <w:uiPriority w:val="2"/>
    <w:rsid w:val="00517B47"/>
    <w:pPr>
      <w:spacing w:before="0" w:after="240"/>
      <w:ind w:left="1202"/>
    </w:pPr>
    <w:rPr>
      <w:sz w:val="20"/>
      <w:szCs w:val="20"/>
      <w:lang w:eastAsia="en-IE"/>
    </w:rPr>
  </w:style>
  <w:style w:type="paragraph" w:customStyle="1" w:styleId="FigureTitle">
    <w:name w:val="Figure Title"/>
    <w:basedOn w:val="Normal"/>
    <w:next w:val="FigureBody"/>
    <w:uiPriority w:val="2"/>
    <w:rsid w:val="00517B47"/>
    <w:pPr>
      <w:keepNext/>
      <w:spacing w:before="0"/>
    </w:pPr>
    <w:rPr>
      <w:b/>
      <w:i/>
      <w:szCs w:val="20"/>
      <w:lang w:eastAsia="en-IE"/>
    </w:rPr>
  </w:style>
  <w:style w:type="paragraph" w:customStyle="1" w:styleId="FigureTitle1">
    <w:name w:val="Figure Title 1"/>
    <w:basedOn w:val="Text1"/>
    <w:next w:val="FigureBody1"/>
    <w:uiPriority w:val="2"/>
    <w:rsid w:val="00517B47"/>
    <w:pPr>
      <w:keepNext/>
      <w:spacing w:before="0"/>
      <w:ind w:left="482"/>
    </w:pPr>
    <w:rPr>
      <w:b/>
      <w:i/>
      <w:szCs w:val="20"/>
      <w:lang w:eastAsia="en-IE"/>
    </w:rPr>
  </w:style>
  <w:style w:type="paragraph" w:customStyle="1" w:styleId="FigureTitle2">
    <w:name w:val="Figure Title 2"/>
    <w:basedOn w:val="Text2"/>
    <w:next w:val="FigureBody2"/>
    <w:uiPriority w:val="2"/>
    <w:rsid w:val="00517B47"/>
    <w:pPr>
      <w:keepNext/>
      <w:spacing w:before="0"/>
      <w:ind w:left="1202"/>
    </w:pPr>
    <w:rPr>
      <w:b/>
      <w:i/>
      <w:szCs w:val="20"/>
      <w:lang w:eastAsia="en-IE"/>
    </w:rPr>
  </w:style>
  <w:style w:type="paragraph" w:customStyle="1" w:styleId="FigureTitle3">
    <w:name w:val="Figure Title 3"/>
    <w:basedOn w:val="Text3"/>
    <w:next w:val="FigureBody3"/>
    <w:uiPriority w:val="2"/>
    <w:rsid w:val="00517B47"/>
    <w:pPr>
      <w:keepNext/>
      <w:spacing w:before="0"/>
      <w:ind w:left="1202"/>
    </w:pPr>
    <w:rPr>
      <w:b/>
      <w:i/>
      <w:szCs w:val="20"/>
      <w:lang w:eastAsia="en-IE"/>
    </w:rPr>
  </w:style>
  <w:style w:type="paragraph" w:customStyle="1" w:styleId="FigureTitle4">
    <w:name w:val="Figure Title 4"/>
    <w:basedOn w:val="Text4"/>
    <w:next w:val="FigureBody4"/>
    <w:uiPriority w:val="2"/>
    <w:rsid w:val="00517B47"/>
    <w:pPr>
      <w:keepNext/>
      <w:spacing w:before="0"/>
      <w:ind w:left="1202"/>
    </w:pPr>
    <w:rPr>
      <w:b/>
      <w:i/>
      <w:szCs w:val="20"/>
      <w:lang w:eastAsia="en-IE"/>
    </w:rPr>
  </w:style>
  <w:style w:type="paragraph" w:customStyle="1" w:styleId="FooterLine">
    <w:name w:val="Footer Line"/>
    <w:basedOn w:val="Footer"/>
    <w:next w:val="Footer"/>
    <w:uiPriority w:val="2"/>
    <w:rsid w:val="00517B47"/>
    <w:pPr>
      <w:tabs>
        <w:tab w:val="clear" w:pos="4535"/>
        <w:tab w:val="clear" w:pos="9071"/>
        <w:tab w:val="clear" w:pos="9921"/>
        <w:tab w:val="right" w:pos="8646"/>
      </w:tabs>
      <w:spacing w:before="120" w:line="264" w:lineRule="auto"/>
      <w:ind w:left="0" w:right="0"/>
      <w:jc w:val="both"/>
    </w:pPr>
    <w:rPr>
      <w:sz w:val="16"/>
      <w:szCs w:val="20"/>
      <w:lang w:eastAsia="en-IE"/>
    </w:rPr>
  </w:style>
  <w:style w:type="paragraph" w:customStyle="1" w:styleId="HistoryTable">
    <w:name w:val="HistoryTable"/>
    <w:basedOn w:val="Normal"/>
    <w:uiPriority w:val="2"/>
    <w:rsid w:val="00517B47"/>
    <w:pPr>
      <w:spacing w:before="60" w:after="60"/>
      <w:jc w:val="left"/>
    </w:pPr>
    <w:rPr>
      <w:sz w:val="20"/>
      <w:szCs w:val="20"/>
      <w:lang w:eastAsia="en-IE"/>
    </w:rPr>
  </w:style>
  <w:style w:type="paragraph" w:customStyle="1" w:styleId="HistTableHeading">
    <w:name w:val="HistTableHeading"/>
    <w:basedOn w:val="Normal"/>
    <w:next w:val="HistoryTable"/>
    <w:uiPriority w:val="2"/>
    <w:rsid w:val="00517B47"/>
    <w:pPr>
      <w:spacing w:before="240" w:after="240"/>
      <w:jc w:val="center"/>
    </w:pPr>
    <w:rPr>
      <w:rFonts w:ascii="Times New Roman Bold" w:hAnsi="Times New Roman Bold"/>
      <w:b/>
      <w:caps/>
      <w:szCs w:val="20"/>
      <w:lang w:eastAsia="en-IE"/>
    </w:rPr>
  </w:style>
  <w:style w:type="paragraph" w:customStyle="1" w:styleId="LegalNumPar">
    <w:name w:val="LegalNumPar"/>
    <w:basedOn w:val="Normal"/>
    <w:uiPriority w:val="1"/>
    <w:qFormat/>
    <w:rsid w:val="00517B47"/>
    <w:pPr>
      <w:numPr>
        <w:numId w:val="41"/>
      </w:numPr>
      <w:spacing w:before="0" w:after="240" w:line="360" w:lineRule="auto"/>
    </w:pPr>
    <w:rPr>
      <w:szCs w:val="20"/>
      <w:lang w:eastAsia="en-IE"/>
    </w:rPr>
  </w:style>
  <w:style w:type="paragraph" w:customStyle="1" w:styleId="LegalNumPar2">
    <w:name w:val="LegalNumPar2"/>
    <w:basedOn w:val="Normal"/>
    <w:uiPriority w:val="1"/>
    <w:rsid w:val="00517B47"/>
    <w:pPr>
      <w:numPr>
        <w:ilvl w:val="1"/>
        <w:numId w:val="41"/>
      </w:numPr>
      <w:spacing w:before="0" w:after="240" w:line="360" w:lineRule="auto"/>
    </w:pPr>
    <w:rPr>
      <w:szCs w:val="20"/>
      <w:lang w:eastAsia="en-IE"/>
    </w:rPr>
  </w:style>
  <w:style w:type="paragraph" w:customStyle="1" w:styleId="LegalNumPar3">
    <w:name w:val="LegalNumPar3"/>
    <w:basedOn w:val="Normal"/>
    <w:uiPriority w:val="1"/>
    <w:rsid w:val="00517B47"/>
    <w:pPr>
      <w:numPr>
        <w:ilvl w:val="2"/>
        <w:numId w:val="41"/>
      </w:numPr>
      <w:spacing w:before="0" w:after="240" w:line="360" w:lineRule="auto"/>
    </w:pPr>
    <w:rPr>
      <w:szCs w:val="20"/>
      <w:lang w:eastAsia="en-IE"/>
    </w:rPr>
  </w:style>
  <w:style w:type="paragraph" w:styleId="ListBullet">
    <w:name w:val="List Bullet"/>
    <w:basedOn w:val="Normal"/>
    <w:uiPriority w:val="1"/>
    <w:rsid w:val="00517B47"/>
    <w:pPr>
      <w:numPr>
        <w:numId w:val="39"/>
      </w:numPr>
      <w:spacing w:before="0" w:after="240"/>
    </w:pPr>
    <w:rPr>
      <w:szCs w:val="20"/>
      <w:lang w:eastAsia="en-IE"/>
    </w:rPr>
  </w:style>
  <w:style w:type="paragraph" w:customStyle="1" w:styleId="ListBulletLevel2">
    <w:name w:val="List Bullet (Level 2)"/>
    <w:basedOn w:val="Normal"/>
    <w:uiPriority w:val="1"/>
    <w:rsid w:val="00517B47"/>
    <w:pPr>
      <w:numPr>
        <w:ilvl w:val="1"/>
        <w:numId w:val="39"/>
      </w:numPr>
      <w:spacing w:before="0" w:after="240"/>
    </w:pPr>
    <w:rPr>
      <w:szCs w:val="20"/>
      <w:lang w:eastAsia="en-IE"/>
    </w:rPr>
  </w:style>
  <w:style w:type="paragraph" w:customStyle="1" w:styleId="ListBulletLevel3">
    <w:name w:val="List Bullet (Level 3)"/>
    <w:basedOn w:val="Normal"/>
    <w:uiPriority w:val="1"/>
    <w:semiHidden/>
    <w:unhideWhenUsed/>
    <w:rsid w:val="00517B47"/>
    <w:pPr>
      <w:numPr>
        <w:ilvl w:val="2"/>
        <w:numId w:val="39"/>
      </w:numPr>
      <w:spacing w:before="0" w:after="240"/>
    </w:pPr>
    <w:rPr>
      <w:szCs w:val="20"/>
      <w:lang w:eastAsia="en-IE"/>
    </w:rPr>
  </w:style>
  <w:style w:type="paragraph" w:customStyle="1" w:styleId="ListBulletLevel4">
    <w:name w:val="List Bullet (Level 4)"/>
    <w:basedOn w:val="Normal"/>
    <w:uiPriority w:val="1"/>
    <w:semiHidden/>
    <w:unhideWhenUsed/>
    <w:rsid w:val="00517B47"/>
    <w:pPr>
      <w:numPr>
        <w:ilvl w:val="3"/>
        <w:numId w:val="39"/>
      </w:numPr>
      <w:spacing w:before="0" w:after="240"/>
    </w:pPr>
    <w:rPr>
      <w:szCs w:val="20"/>
      <w:lang w:eastAsia="en-IE"/>
    </w:rPr>
  </w:style>
  <w:style w:type="paragraph" w:customStyle="1" w:styleId="ListBullet1">
    <w:name w:val="List Bullet 1"/>
    <w:basedOn w:val="Text1"/>
    <w:uiPriority w:val="1"/>
    <w:rsid w:val="00517B47"/>
    <w:pPr>
      <w:numPr>
        <w:numId w:val="38"/>
      </w:numPr>
      <w:spacing w:before="0" w:after="240"/>
    </w:pPr>
    <w:rPr>
      <w:szCs w:val="20"/>
      <w:lang w:eastAsia="en-IE"/>
    </w:rPr>
  </w:style>
  <w:style w:type="paragraph" w:customStyle="1" w:styleId="ListBullet1Level2">
    <w:name w:val="List Bullet 1 (Level 2)"/>
    <w:basedOn w:val="Text1"/>
    <w:uiPriority w:val="1"/>
    <w:rsid w:val="00517B47"/>
    <w:pPr>
      <w:numPr>
        <w:ilvl w:val="1"/>
        <w:numId w:val="38"/>
      </w:numPr>
      <w:spacing w:before="0" w:after="240"/>
    </w:pPr>
    <w:rPr>
      <w:szCs w:val="20"/>
      <w:lang w:eastAsia="en-IE"/>
    </w:rPr>
  </w:style>
  <w:style w:type="paragraph" w:customStyle="1" w:styleId="ListBullet1Level3">
    <w:name w:val="List Bullet 1 (Level 3)"/>
    <w:basedOn w:val="Text1"/>
    <w:uiPriority w:val="1"/>
    <w:semiHidden/>
    <w:unhideWhenUsed/>
    <w:rsid w:val="00517B47"/>
    <w:pPr>
      <w:numPr>
        <w:ilvl w:val="2"/>
        <w:numId w:val="38"/>
      </w:numPr>
      <w:spacing w:before="0" w:after="240"/>
    </w:pPr>
    <w:rPr>
      <w:szCs w:val="20"/>
      <w:lang w:eastAsia="en-IE"/>
    </w:rPr>
  </w:style>
  <w:style w:type="paragraph" w:customStyle="1" w:styleId="ListBullet1Level4">
    <w:name w:val="List Bullet 1 (Level 4)"/>
    <w:basedOn w:val="Text1"/>
    <w:uiPriority w:val="1"/>
    <w:semiHidden/>
    <w:unhideWhenUsed/>
    <w:rsid w:val="00517B47"/>
    <w:pPr>
      <w:numPr>
        <w:ilvl w:val="3"/>
        <w:numId w:val="38"/>
      </w:numPr>
      <w:spacing w:before="0" w:after="240"/>
    </w:pPr>
    <w:rPr>
      <w:szCs w:val="20"/>
      <w:lang w:eastAsia="en-IE"/>
    </w:rPr>
  </w:style>
  <w:style w:type="paragraph" w:styleId="ListBullet2">
    <w:name w:val="List Bullet 2"/>
    <w:basedOn w:val="Text2"/>
    <w:uiPriority w:val="1"/>
    <w:rsid w:val="00517B47"/>
    <w:pPr>
      <w:numPr>
        <w:numId w:val="47"/>
      </w:numPr>
      <w:spacing w:before="0" w:after="240"/>
    </w:pPr>
    <w:rPr>
      <w:szCs w:val="20"/>
      <w:lang w:eastAsia="en-IE"/>
    </w:rPr>
  </w:style>
  <w:style w:type="paragraph" w:customStyle="1" w:styleId="ListBullet2Level2">
    <w:name w:val="List Bullet 2 (Level 2)"/>
    <w:basedOn w:val="Text2"/>
    <w:uiPriority w:val="1"/>
    <w:rsid w:val="00517B47"/>
    <w:pPr>
      <w:numPr>
        <w:ilvl w:val="1"/>
        <w:numId w:val="37"/>
      </w:numPr>
      <w:spacing w:before="0" w:after="240"/>
    </w:pPr>
    <w:rPr>
      <w:szCs w:val="20"/>
      <w:lang w:eastAsia="en-IE"/>
    </w:rPr>
  </w:style>
  <w:style w:type="paragraph" w:customStyle="1" w:styleId="ListBullet2Level3">
    <w:name w:val="List Bullet 2 (Level 3)"/>
    <w:basedOn w:val="Text2"/>
    <w:uiPriority w:val="1"/>
    <w:semiHidden/>
    <w:unhideWhenUsed/>
    <w:rsid w:val="00517B47"/>
    <w:pPr>
      <w:numPr>
        <w:ilvl w:val="2"/>
        <w:numId w:val="37"/>
      </w:numPr>
      <w:spacing w:before="0" w:after="240"/>
    </w:pPr>
    <w:rPr>
      <w:szCs w:val="20"/>
      <w:lang w:eastAsia="en-IE"/>
    </w:rPr>
  </w:style>
  <w:style w:type="paragraph" w:customStyle="1" w:styleId="ListBullet2Level4">
    <w:name w:val="List Bullet 2 (Level 4)"/>
    <w:basedOn w:val="Text2"/>
    <w:uiPriority w:val="1"/>
    <w:semiHidden/>
    <w:unhideWhenUsed/>
    <w:rsid w:val="00517B47"/>
    <w:pPr>
      <w:numPr>
        <w:ilvl w:val="3"/>
        <w:numId w:val="37"/>
      </w:numPr>
      <w:spacing w:before="0" w:after="240"/>
    </w:pPr>
    <w:rPr>
      <w:szCs w:val="20"/>
      <w:lang w:eastAsia="en-IE"/>
    </w:rPr>
  </w:style>
  <w:style w:type="paragraph" w:styleId="ListBullet3">
    <w:name w:val="List Bullet 3"/>
    <w:basedOn w:val="Text3"/>
    <w:uiPriority w:val="1"/>
    <w:rsid w:val="00517B47"/>
    <w:pPr>
      <w:numPr>
        <w:numId w:val="36"/>
      </w:numPr>
      <w:spacing w:before="0" w:after="240"/>
    </w:pPr>
    <w:rPr>
      <w:szCs w:val="20"/>
      <w:lang w:eastAsia="en-IE"/>
    </w:rPr>
  </w:style>
  <w:style w:type="paragraph" w:customStyle="1" w:styleId="ListBullet3Level2">
    <w:name w:val="List Bullet 3 (Level 2)"/>
    <w:basedOn w:val="Text3"/>
    <w:uiPriority w:val="1"/>
    <w:rsid w:val="00517B47"/>
    <w:pPr>
      <w:numPr>
        <w:ilvl w:val="1"/>
        <w:numId w:val="36"/>
      </w:numPr>
      <w:spacing w:before="0" w:after="240"/>
    </w:pPr>
    <w:rPr>
      <w:szCs w:val="20"/>
      <w:lang w:eastAsia="en-IE"/>
    </w:rPr>
  </w:style>
  <w:style w:type="paragraph" w:customStyle="1" w:styleId="ListBullet3Level3">
    <w:name w:val="List Bullet 3 (Level 3)"/>
    <w:basedOn w:val="Text3"/>
    <w:uiPriority w:val="1"/>
    <w:semiHidden/>
    <w:unhideWhenUsed/>
    <w:rsid w:val="00517B47"/>
    <w:pPr>
      <w:numPr>
        <w:ilvl w:val="2"/>
        <w:numId w:val="36"/>
      </w:numPr>
      <w:spacing w:before="0" w:after="240"/>
    </w:pPr>
    <w:rPr>
      <w:szCs w:val="20"/>
      <w:lang w:eastAsia="en-IE"/>
    </w:rPr>
  </w:style>
  <w:style w:type="paragraph" w:customStyle="1" w:styleId="ListBullet3Level4">
    <w:name w:val="List Bullet 3 (Level 4)"/>
    <w:basedOn w:val="Text3"/>
    <w:uiPriority w:val="1"/>
    <w:semiHidden/>
    <w:unhideWhenUsed/>
    <w:rsid w:val="00517B47"/>
    <w:pPr>
      <w:numPr>
        <w:ilvl w:val="3"/>
        <w:numId w:val="36"/>
      </w:numPr>
      <w:spacing w:before="0" w:after="240"/>
    </w:pPr>
    <w:rPr>
      <w:szCs w:val="20"/>
      <w:lang w:eastAsia="en-IE"/>
    </w:rPr>
  </w:style>
  <w:style w:type="paragraph" w:styleId="ListBullet4">
    <w:name w:val="List Bullet 4"/>
    <w:basedOn w:val="Text4"/>
    <w:uiPriority w:val="1"/>
    <w:rsid w:val="00517B47"/>
    <w:pPr>
      <w:numPr>
        <w:numId w:val="35"/>
      </w:numPr>
      <w:spacing w:before="0" w:after="240"/>
    </w:pPr>
    <w:rPr>
      <w:szCs w:val="20"/>
      <w:lang w:eastAsia="en-IE"/>
    </w:rPr>
  </w:style>
  <w:style w:type="paragraph" w:customStyle="1" w:styleId="ListBullet4Level2">
    <w:name w:val="List Bullet 4 (Level 2)"/>
    <w:basedOn w:val="Text4"/>
    <w:uiPriority w:val="1"/>
    <w:rsid w:val="00517B47"/>
    <w:pPr>
      <w:numPr>
        <w:ilvl w:val="1"/>
        <w:numId w:val="35"/>
      </w:numPr>
      <w:spacing w:before="0" w:after="240"/>
    </w:pPr>
    <w:rPr>
      <w:szCs w:val="20"/>
      <w:lang w:eastAsia="en-IE"/>
    </w:rPr>
  </w:style>
  <w:style w:type="paragraph" w:customStyle="1" w:styleId="ListBullet4Level3">
    <w:name w:val="List Bullet 4 (Level 3)"/>
    <w:basedOn w:val="Text4"/>
    <w:uiPriority w:val="1"/>
    <w:semiHidden/>
    <w:unhideWhenUsed/>
    <w:rsid w:val="00517B47"/>
    <w:pPr>
      <w:numPr>
        <w:ilvl w:val="2"/>
        <w:numId w:val="35"/>
      </w:numPr>
      <w:spacing w:before="0" w:after="240"/>
    </w:pPr>
    <w:rPr>
      <w:szCs w:val="20"/>
      <w:lang w:eastAsia="en-IE"/>
    </w:rPr>
  </w:style>
  <w:style w:type="paragraph" w:customStyle="1" w:styleId="ListBullet4Level4">
    <w:name w:val="List Bullet 4 (Level 4)"/>
    <w:basedOn w:val="Text4"/>
    <w:uiPriority w:val="1"/>
    <w:semiHidden/>
    <w:unhideWhenUsed/>
    <w:rsid w:val="00517B47"/>
    <w:pPr>
      <w:numPr>
        <w:ilvl w:val="3"/>
        <w:numId w:val="35"/>
      </w:numPr>
      <w:spacing w:before="0" w:after="240"/>
    </w:pPr>
    <w:rPr>
      <w:szCs w:val="20"/>
      <w:lang w:eastAsia="en-IE"/>
    </w:rPr>
  </w:style>
  <w:style w:type="paragraph" w:customStyle="1" w:styleId="ListDash">
    <w:name w:val="List Dash"/>
    <w:basedOn w:val="Normal"/>
    <w:uiPriority w:val="1"/>
    <w:rsid w:val="00517B47"/>
    <w:pPr>
      <w:numPr>
        <w:numId w:val="29"/>
      </w:numPr>
      <w:spacing w:before="0" w:after="240"/>
    </w:pPr>
    <w:rPr>
      <w:szCs w:val="20"/>
      <w:lang w:eastAsia="en-IE"/>
    </w:rPr>
  </w:style>
  <w:style w:type="paragraph" w:customStyle="1" w:styleId="ListDashLevel2">
    <w:name w:val="List Dash (Level 2)"/>
    <w:basedOn w:val="Normal"/>
    <w:uiPriority w:val="1"/>
    <w:rsid w:val="00517B47"/>
    <w:pPr>
      <w:numPr>
        <w:ilvl w:val="1"/>
        <w:numId w:val="29"/>
      </w:numPr>
      <w:spacing w:before="0" w:after="240"/>
    </w:pPr>
    <w:rPr>
      <w:szCs w:val="20"/>
      <w:lang w:eastAsia="en-IE"/>
    </w:rPr>
  </w:style>
  <w:style w:type="paragraph" w:customStyle="1" w:styleId="ListDashLevel3">
    <w:name w:val="List Dash (Level 3)"/>
    <w:basedOn w:val="Normal"/>
    <w:uiPriority w:val="1"/>
    <w:semiHidden/>
    <w:unhideWhenUsed/>
    <w:rsid w:val="00517B47"/>
    <w:pPr>
      <w:numPr>
        <w:ilvl w:val="2"/>
        <w:numId w:val="29"/>
      </w:numPr>
      <w:spacing w:before="0" w:after="240"/>
    </w:pPr>
    <w:rPr>
      <w:szCs w:val="20"/>
      <w:lang w:eastAsia="en-IE"/>
    </w:rPr>
  </w:style>
  <w:style w:type="paragraph" w:customStyle="1" w:styleId="ListDashLevel4">
    <w:name w:val="List Dash (Level 4)"/>
    <w:basedOn w:val="Normal"/>
    <w:uiPriority w:val="1"/>
    <w:semiHidden/>
    <w:unhideWhenUsed/>
    <w:rsid w:val="00517B47"/>
    <w:pPr>
      <w:numPr>
        <w:ilvl w:val="3"/>
        <w:numId w:val="29"/>
      </w:numPr>
      <w:spacing w:before="0" w:after="240"/>
    </w:pPr>
    <w:rPr>
      <w:szCs w:val="20"/>
      <w:lang w:eastAsia="en-IE"/>
    </w:rPr>
  </w:style>
  <w:style w:type="paragraph" w:customStyle="1" w:styleId="ListDash1">
    <w:name w:val="List Dash 1"/>
    <w:basedOn w:val="Text1"/>
    <w:uiPriority w:val="1"/>
    <w:rsid w:val="00517B47"/>
    <w:pPr>
      <w:numPr>
        <w:numId w:val="28"/>
      </w:numPr>
      <w:spacing w:before="0" w:after="240"/>
    </w:pPr>
    <w:rPr>
      <w:szCs w:val="20"/>
      <w:lang w:eastAsia="en-IE"/>
    </w:rPr>
  </w:style>
  <w:style w:type="paragraph" w:customStyle="1" w:styleId="ListDash1Level2">
    <w:name w:val="List Dash 1 (Level 2)"/>
    <w:basedOn w:val="Text1"/>
    <w:uiPriority w:val="1"/>
    <w:rsid w:val="00517B47"/>
    <w:pPr>
      <w:numPr>
        <w:ilvl w:val="1"/>
        <w:numId w:val="28"/>
      </w:numPr>
      <w:spacing w:before="0" w:after="240"/>
    </w:pPr>
    <w:rPr>
      <w:szCs w:val="20"/>
      <w:lang w:eastAsia="en-IE"/>
    </w:rPr>
  </w:style>
  <w:style w:type="paragraph" w:customStyle="1" w:styleId="ListDash1Level3">
    <w:name w:val="List Dash 1 (Level 3)"/>
    <w:basedOn w:val="Text1"/>
    <w:uiPriority w:val="1"/>
    <w:semiHidden/>
    <w:unhideWhenUsed/>
    <w:rsid w:val="00517B47"/>
    <w:pPr>
      <w:numPr>
        <w:ilvl w:val="2"/>
        <w:numId w:val="28"/>
      </w:numPr>
      <w:spacing w:before="0" w:after="240"/>
    </w:pPr>
    <w:rPr>
      <w:szCs w:val="20"/>
      <w:lang w:eastAsia="en-IE"/>
    </w:rPr>
  </w:style>
  <w:style w:type="paragraph" w:customStyle="1" w:styleId="ListDash1Level4">
    <w:name w:val="List Dash 1 (Level 4)"/>
    <w:basedOn w:val="Text1"/>
    <w:uiPriority w:val="1"/>
    <w:semiHidden/>
    <w:unhideWhenUsed/>
    <w:rsid w:val="00517B47"/>
    <w:pPr>
      <w:numPr>
        <w:ilvl w:val="3"/>
        <w:numId w:val="28"/>
      </w:numPr>
      <w:spacing w:before="0" w:after="240"/>
    </w:pPr>
    <w:rPr>
      <w:szCs w:val="20"/>
      <w:lang w:eastAsia="en-IE"/>
    </w:rPr>
  </w:style>
  <w:style w:type="paragraph" w:customStyle="1" w:styleId="ListDash2">
    <w:name w:val="List Dash 2"/>
    <w:basedOn w:val="Text2"/>
    <w:uiPriority w:val="1"/>
    <w:rsid w:val="00517B47"/>
    <w:pPr>
      <w:numPr>
        <w:numId w:val="27"/>
      </w:numPr>
      <w:spacing w:before="0" w:after="240"/>
    </w:pPr>
    <w:rPr>
      <w:szCs w:val="20"/>
      <w:lang w:eastAsia="en-IE"/>
    </w:rPr>
  </w:style>
  <w:style w:type="paragraph" w:customStyle="1" w:styleId="ListDash2Level2">
    <w:name w:val="List Dash 2 (Level 2)"/>
    <w:basedOn w:val="Text2"/>
    <w:uiPriority w:val="1"/>
    <w:rsid w:val="00517B47"/>
    <w:pPr>
      <w:numPr>
        <w:ilvl w:val="1"/>
        <w:numId w:val="27"/>
      </w:numPr>
      <w:spacing w:before="0" w:after="240"/>
    </w:pPr>
    <w:rPr>
      <w:szCs w:val="20"/>
      <w:lang w:eastAsia="en-IE"/>
    </w:rPr>
  </w:style>
  <w:style w:type="paragraph" w:customStyle="1" w:styleId="ListDash2Level3">
    <w:name w:val="List Dash 2 (Level 3)"/>
    <w:basedOn w:val="Text2"/>
    <w:uiPriority w:val="1"/>
    <w:semiHidden/>
    <w:unhideWhenUsed/>
    <w:rsid w:val="00517B47"/>
    <w:pPr>
      <w:numPr>
        <w:ilvl w:val="2"/>
        <w:numId w:val="27"/>
      </w:numPr>
      <w:spacing w:before="0" w:after="240"/>
    </w:pPr>
    <w:rPr>
      <w:szCs w:val="20"/>
      <w:lang w:eastAsia="en-IE"/>
    </w:rPr>
  </w:style>
  <w:style w:type="paragraph" w:customStyle="1" w:styleId="ListDash2Level4">
    <w:name w:val="List Dash 2 (Level 4)"/>
    <w:basedOn w:val="Text2"/>
    <w:uiPriority w:val="1"/>
    <w:semiHidden/>
    <w:unhideWhenUsed/>
    <w:rsid w:val="00517B47"/>
    <w:pPr>
      <w:numPr>
        <w:ilvl w:val="3"/>
        <w:numId w:val="27"/>
      </w:numPr>
      <w:spacing w:before="0" w:after="240"/>
    </w:pPr>
    <w:rPr>
      <w:szCs w:val="20"/>
      <w:lang w:eastAsia="en-IE"/>
    </w:rPr>
  </w:style>
  <w:style w:type="paragraph" w:customStyle="1" w:styleId="ListDash3">
    <w:name w:val="List Dash 3"/>
    <w:basedOn w:val="Text3"/>
    <w:uiPriority w:val="1"/>
    <w:rsid w:val="00517B47"/>
    <w:pPr>
      <w:numPr>
        <w:numId w:val="26"/>
      </w:numPr>
      <w:spacing w:before="0" w:after="240"/>
    </w:pPr>
    <w:rPr>
      <w:szCs w:val="20"/>
      <w:lang w:eastAsia="en-IE"/>
    </w:rPr>
  </w:style>
  <w:style w:type="paragraph" w:customStyle="1" w:styleId="ListDash3Level2">
    <w:name w:val="List Dash 3 (Level 2)"/>
    <w:basedOn w:val="Text3"/>
    <w:uiPriority w:val="1"/>
    <w:rsid w:val="00517B47"/>
    <w:pPr>
      <w:numPr>
        <w:ilvl w:val="1"/>
        <w:numId w:val="26"/>
      </w:numPr>
      <w:spacing w:before="0" w:after="240"/>
    </w:pPr>
    <w:rPr>
      <w:szCs w:val="20"/>
      <w:lang w:eastAsia="en-IE"/>
    </w:rPr>
  </w:style>
  <w:style w:type="paragraph" w:customStyle="1" w:styleId="ListDash3Level3">
    <w:name w:val="List Dash 3 (Level 3)"/>
    <w:basedOn w:val="Text3"/>
    <w:uiPriority w:val="1"/>
    <w:semiHidden/>
    <w:unhideWhenUsed/>
    <w:rsid w:val="00517B47"/>
    <w:pPr>
      <w:numPr>
        <w:ilvl w:val="2"/>
        <w:numId w:val="26"/>
      </w:numPr>
      <w:spacing w:before="0" w:after="240"/>
    </w:pPr>
    <w:rPr>
      <w:szCs w:val="20"/>
      <w:lang w:eastAsia="en-IE"/>
    </w:rPr>
  </w:style>
  <w:style w:type="paragraph" w:customStyle="1" w:styleId="ListDash3Level4">
    <w:name w:val="List Dash 3 (Level 4)"/>
    <w:basedOn w:val="Text3"/>
    <w:uiPriority w:val="1"/>
    <w:semiHidden/>
    <w:unhideWhenUsed/>
    <w:rsid w:val="00517B47"/>
    <w:pPr>
      <w:numPr>
        <w:ilvl w:val="3"/>
        <w:numId w:val="26"/>
      </w:numPr>
      <w:spacing w:before="0" w:after="240"/>
    </w:pPr>
    <w:rPr>
      <w:szCs w:val="20"/>
      <w:lang w:eastAsia="en-IE"/>
    </w:rPr>
  </w:style>
  <w:style w:type="paragraph" w:customStyle="1" w:styleId="ListDash4">
    <w:name w:val="List Dash 4"/>
    <w:basedOn w:val="Text4"/>
    <w:uiPriority w:val="1"/>
    <w:rsid w:val="00517B47"/>
    <w:pPr>
      <w:numPr>
        <w:numId w:val="25"/>
      </w:numPr>
      <w:spacing w:before="0" w:after="240"/>
    </w:pPr>
    <w:rPr>
      <w:szCs w:val="20"/>
      <w:lang w:eastAsia="en-IE"/>
    </w:rPr>
  </w:style>
  <w:style w:type="paragraph" w:customStyle="1" w:styleId="ListDash4Level2">
    <w:name w:val="List Dash 4 (Level 2)"/>
    <w:basedOn w:val="Text4"/>
    <w:uiPriority w:val="1"/>
    <w:rsid w:val="00517B47"/>
    <w:pPr>
      <w:numPr>
        <w:ilvl w:val="1"/>
        <w:numId w:val="25"/>
      </w:numPr>
      <w:spacing w:before="0" w:after="240"/>
    </w:pPr>
    <w:rPr>
      <w:szCs w:val="20"/>
      <w:lang w:eastAsia="en-IE"/>
    </w:rPr>
  </w:style>
  <w:style w:type="paragraph" w:customStyle="1" w:styleId="ListDash4Level3">
    <w:name w:val="List Dash 4 (Level 3)"/>
    <w:basedOn w:val="Text4"/>
    <w:uiPriority w:val="1"/>
    <w:semiHidden/>
    <w:unhideWhenUsed/>
    <w:rsid w:val="00517B47"/>
    <w:pPr>
      <w:numPr>
        <w:ilvl w:val="2"/>
        <w:numId w:val="25"/>
      </w:numPr>
      <w:spacing w:before="0" w:after="240"/>
    </w:pPr>
    <w:rPr>
      <w:szCs w:val="20"/>
      <w:lang w:eastAsia="en-IE"/>
    </w:rPr>
  </w:style>
  <w:style w:type="paragraph" w:customStyle="1" w:styleId="ListDash4Level4">
    <w:name w:val="List Dash 4 (Level 4)"/>
    <w:basedOn w:val="Text4"/>
    <w:uiPriority w:val="1"/>
    <w:semiHidden/>
    <w:unhideWhenUsed/>
    <w:rsid w:val="00517B47"/>
    <w:pPr>
      <w:numPr>
        <w:ilvl w:val="3"/>
        <w:numId w:val="25"/>
      </w:numPr>
      <w:spacing w:before="0" w:after="240"/>
    </w:pPr>
    <w:rPr>
      <w:szCs w:val="20"/>
      <w:lang w:eastAsia="en-IE"/>
    </w:rPr>
  </w:style>
  <w:style w:type="paragraph" w:styleId="ListNumber">
    <w:name w:val="List Number"/>
    <w:basedOn w:val="Normal"/>
    <w:uiPriority w:val="1"/>
    <w:rsid w:val="00517B47"/>
    <w:pPr>
      <w:numPr>
        <w:numId w:val="34"/>
      </w:numPr>
      <w:spacing w:before="0" w:after="240"/>
    </w:pPr>
    <w:rPr>
      <w:szCs w:val="20"/>
      <w:lang w:eastAsia="en-IE"/>
    </w:rPr>
  </w:style>
  <w:style w:type="paragraph" w:customStyle="1" w:styleId="ListNumberLevel2">
    <w:name w:val="List Number (Level 2)"/>
    <w:basedOn w:val="Normal"/>
    <w:uiPriority w:val="1"/>
    <w:rsid w:val="00517B47"/>
    <w:pPr>
      <w:numPr>
        <w:ilvl w:val="1"/>
        <w:numId w:val="34"/>
      </w:numPr>
      <w:spacing w:before="0" w:after="240"/>
    </w:pPr>
    <w:rPr>
      <w:szCs w:val="20"/>
      <w:lang w:eastAsia="en-IE"/>
    </w:rPr>
  </w:style>
  <w:style w:type="paragraph" w:customStyle="1" w:styleId="ListNumberLevel3">
    <w:name w:val="List Number (Level 3)"/>
    <w:basedOn w:val="Normal"/>
    <w:uiPriority w:val="1"/>
    <w:semiHidden/>
    <w:unhideWhenUsed/>
    <w:rsid w:val="00517B47"/>
    <w:pPr>
      <w:numPr>
        <w:ilvl w:val="2"/>
        <w:numId w:val="34"/>
      </w:numPr>
      <w:spacing w:before="0" w:after="240"/>
    </w:pPr>
    <w:rPr>
      <w:szCs w:val="20"/>
      <w:lang w:eastAsia="en-IE"/>
    </w:rPr>
  </w:style>
  <w:style w:type="paragraph" w:customStyle="1" w:styleId="ListNumberLevel4">
    <w:name w:val="List Number (Level 4)"/>
    <w:basedOn w:val="Normal"/>
    <w:uiPriority w:val="1"/>
    <w:semiHidden/>
    <w:unhideWhenUsed/>
    <w:rsid w:val="00517B47"/>
    <w:pPr>
      <w:numPr>
        <w:ilvl w:val="3"/>
        <w:numId w:val="34"/>
      </w:numPr>
      <w:spacing w:before="0" w:after="240"/>
    </w:pPr>
    <w:rPr>
      <w:szCs w:val="20"/>
      <w:lang w:eastAsia="en-IE"/>
    </w:rPr>
  </w:style>
  <w:style w:type="paragraph" w:customStyle="1" w:styleId="ListNumber1">
    <w:name w:val="List Number 1"/>
    <w:basedOn w:val="Text1"/>
    <w:uiPriority w:val="1"/>
    <w:rsid w:val="00517B47"/>
    <w:pPr>
      <w:numPr>
        <w:numId w:val="33"/>
      </w:numPr>
      <w:spacing w:before="0" w:after="240"/>
    </w:pPr>
    <w:rPr>
      <w:szCs w:val="20"/>
      <w:lang w:eastAsia="en-IE"/>
    </w:rPr>
  </w:style>
  <w:style w:type="paragraph" w:customStyle="1" w:styleId="ListNumber1Level2">
    <w:name w:val="List Number 1 (Level 2)"/>
    <w:basedOn w:val="Text1"/>
    <w:uiPriority w:val="1"/>
    <w:rsid w:val="00517B47"/>
    <w:pPr>
      <w:numPr>
        <w:ilvl w:val="1"/>
        <w:numId w:val="33"/>
      </w:numPr>
      <w:spacing w:before="0" w:after="240"/>
    </w:pPr>
    <w:rPr>
      <w:szCs w:val="20"/>
      <w:lang w:eastAsia="en-IE"/>
    </w:rPr>
  </w:style>
  <w:style w:type="paragraph" w:customStyle="1" w:styleId="ListNumber1Level3">
    <w:name w:val="List Number 1 (Level 3)"/>
    <w:basedOn w:val="Text1"/>
    <w:uiPriority w:val="1"/>
    <w:semiHidden/>
    <w:unhideWhenUsed/>
    <w:rsid w:val="00517B47"/>
    <w:pPr>
      <w:numPr>
        <w:ilvl w:val="2"/>
        <w:numId w:val="33"/>
      </w:numPr>
      <w:spacing w:before="0" w:after="240"/>
    </w:pPr>
    <w:rPr>
      <w:szCs w:val="20"/>
      <w:lang w:eastAsia="en-IE"/>
    </w:rPr>
  </w:style>
  <w:style w:type="paragraph" w:customStyle="1" w:styleId="ListNumber1Level4">
    <w:name w:val="List Number 1 (Level 4)"/>
    <w:basedOn w:val="Text1"/>
    <w:uiPriority w:val="1"/>
    <w:semiHidden/>
    <w:unhideWhenUsed/>
    <w:rsid w:val="00517B47"/>
    <w:pPr>
      <w:numPr>
        <w:ilvl w:val="3"/>
        <w:numId w:val="33"/>
      </w:numPr>
      <w:spacing w:before="0" w:after="240"/>
    </w:pPr>
    <w:rPr>
      <w:szCs w:val="20"/>
      <w:lang w:eastAsia="en-IE"/>
    </w:rPr>
  </w:style>
  <w:style w:type="paragraph" w:styleId="ListNumber2">
    <w:name w:val="List Number 2"/>
    <w:basedOn w:val="Text2"/>
    <w:uiPriority w:val="1"/>
    <w:rsid w:val="00517B47"/>
    <w:pPr>
      <w:numPr>
        <w:numId w:val="32"/>
      </w:numPr>
      <w:spacing w:before="0" w:after="240"/>
    </w:pPr>
    <w:rPr>
      <w:szCs w:val="20"/>
      <w:lang w:eastAsia="en-IE"/>
    </w:rPr>
  </w:style>
  <w:style w:type="paragraph" w:customStyle="1" w:styleId="ListNumber2Level2">
    <w:name w:val="List Number 2 (Level 2)"/>
    <w:basedOn w:val="Text2"/>
    <w:uiPriority w:val="1"/>
    <w:rsid w:val="00517B47"/>
    <w:pPr>
      <w:numPr>
        <w:ilvl w:val="1"/>
        <w:numId w:val="32"/>
      </w:numPr>
      <w:spacing w:before="0" w:after="240"/>
    </w:pPr>
    <w:rPr>
      <w:szCs w:val="20"/>
      <w:lang w:eastAsia="en-IE"/>
    </w:rPr>
  </w:style>
  <w:style w:type="paragraph" w:customStyle="1" w:styleId="ListNumber2Level3">
    <w:name w:val="List Number 2 (Level 3)"/>
    <w:basedOn w:val="Text2"/>
    <w:uiPriority w:val="1"/>
    <w:semiHidden/>
    <w:unhideWhenUsed/>
    <w:rsid w:val="00517B47"/>
    <w:pPr>
      <w:numPr>
        <w:ilvl w:val="2"/>
        <w:numId w:val="32"/>
      </w:numPr>
      <w:spacing w:before="0" w:after="240"/>
    </w:pPr>
    <w:rPr>
      <w:szCs w:val="20"/>
      <w:lang w:eastAsia="en-IE"/>
    </w:rPr>
  </w:style>
  <w:style w:type="paragraph" w:customStyle="1" w:styleId="ListNumber2Level4">
    <w:name w:val="List Number 2 (Level 4)"/>
    <w:basedOn w:val="Text2"/>
    <w:uiPriority w:val="1"/>
    <w:semiHidden/>
    <w:unhideWhenUsed/>
    <w:rsid w:val="00517B47"/>
    <w:pPr>
      <w:numPr>
        <w:ilvl w:val="3"/>
        <w:numId w:val="32"/>
      </w:numPr>
      <w:spacing w:before="0" w:after="240"/>
    </w:pPr>
    <w:rPr>
      <w:szCs w:val="20"/>
      <w:lang w:eastAsia="en-IE"/>
    </w:rPr>
  </w:style>
  <w:style w:type="paragraph" w:styleId="ListNumber3">
    <w:name w:val="List Number 3"/>
    <w:basedOn w:val="Text3"/>
    <w:uiPriority w:val="1"/>
    <w:rsid w:val="00517B47"/>
    <w:pPr>
      <w:numPr>
        <w:numId w:val="31"/>
      </w:numPr>
      <w:spacing w:before="0" w:after="240"/>
    </w:pPr>
    <w:rPr>
      <w:szCs w:val="20"/>
      <w:lang w:eastAsia="en-IE"/>
    </w:rPr>
  </w:style>
  <w:style w:type="paragraph" w:customStyle="1" w:styleId="ListNumber3Level2">
    <w:name w:val="List Number 3 (Level 2)"/>
    <w:basedOn w:val="Text3"/>
    <w:uiPriority w:val="1"/>
    <w:rsid w:val="00517B47"/>
    <w:pPr>
      <w:numPr>
        <w:ilvl w:val="1"/>
        <w:numId w:val="31"/>
      </w:numPr>
      <w:spacing w:before="0" w:after="240"/>
    </w:pPr>
    <w:rPr>
      <w:szCs w:val="20"/>
      <w:lang w:eastAsia="en-IE"/>
    </w:rPr>
  </w:style>
  <w:style w:type="paragraph" w:customStyle="1" w:styleId="ListNumber3Level3">
    <w:name w:val="List Number 3 (Level 3)"/>
    <w:basedOn w:val="Text3"/>
    <w:uiPriority w:val="1"/>
    <w:semiHidden/>
    <w:unhideWhenUsed/>
    <w:rsid w:val="00517B47"/>
    <w:pPr>
      <w:numPr>
        <w:ilvl w:val="2"/>
        <w:numId w:val="31"/>
      </w:numPr>
      <w:spacing w:before="0" w:after="240"/>
    </w:pPr>
    <w:rPr>
      <w:szCs w:val="20"/>
      <w:lang w:eastAsia="en-IE"/>
    </w:rPr>
  </w:style>
  <w:style w:type="paragraph" w:customStyle="1" w:styleId="ListNumber3Level4">
    <w:name w:val="List Number 3 (Level 4)"/>
    <w:basedOn w:val="Text3"/>
    <w:uiPriority w:val="1"/>
    <w:semiHidden/>
    <w:unhideWhenUsed/>
    <w:rsid w:val="00517B47"/>
    <w:pPr>
      <w:numPr>
        <w:ilvl w:val="3"/>
        <w:numId w:val="31"/>
      </w:numPr>
      <w:spacing w:before="0" w:after="240"/>
    </w:pPr>
    <w:rPr>
      <w:szCs w:val="20"/>
      <w:lang w:eastAsia="en-IE"/>
    </w:rPr>
  </w:style>
  <w:style w:type="paragraph" w:styleId="ListNumber4">
    <w:name w:val="List Number 4"/>
    <w:basedOn w:val="Text4"/>
    <w:uiPriority w:val="1"/>
    <w:rsid w:val="00517B47"/>
    <w:pPr>
      <w:numPr>
        <w:numId w:val="30"/>
      </w:numPr>
      <w:spacing w:before="0" w:after="240"/>
    </w:pPr>
    <w:rPr>
      <w:szCs w:val="20"/>
      <w:lang w:eastAsia="en-IE"/>
    </w:rPr>
  </w:style>
  <w:style w:type="paragraph" w:customStyle="1" w:styleId="ListNumber4Level2">
    <w:name w:val="List Number 4 (Level 2)"/>
    <w:basedOn w:val="Text4"/>
    <w:uiPriority w:val="1"/>
    <w:rsid w:val="00517B47"/>
    <w:pPr>
      <w:numPr>
        <w:ilvl w:val="1"/>
        <w:numId w:val="30"/>
      </w:numPr>
      <w:spacing w:before="0" w:after="240"/>
    </w:pPr>
    <w:rPr>
      <w:szCs w:val="20"/>
      <w:lang w:eastAsia="en-IE"/>
    </w:rPr>
  </w:style>
  <w:style w:type="paragraph" w:customStyle="1" w:styleId="ListNumber4Level3">
    <w:name w:val="List Number 4 (Level 3)"/>
    <w:basedOn w:val="Text4"/>
    <w:uiPriority w:val="1"/>
    <w:semiHidden/>
    <w:unhideWhenUsed/>
    <w:rsid w:val="00517B47"/>
    <w:pPr>
      <w:numPr>
        <w:ilvl w:val="2"/>
        <w:numId w:val="30"/>
      </w:numPr>
      <w:spacing w:before="0" w:after="240"/>
    </w:pPr>
    <w:rPr>
      <w:szCs w:val="20"/>
      <w:lang w:eastAsia="en-IE"/>
    </w:rPr>
  </w:style>
  <w:style w:type="paragraph" w:customStyle="1" w:styleId="ListNumber4Level4">
    <w:name w:val="List Number 4 (Level 4)"/>
    <w:basedOn w:val="Text4"/>
    <w:uiPriority w:val="1"/>
    <w:semiHidden/>
    <w:unhideWhenUsed/>
    <w:rsid w:val="00517B47"/>
    <w:pPr>
      <w:numPr>
        <w:ilvl w:val="3"/>
        <w:numId w:val="30"/>
      </w:numPr>
      <w:spacing w:before="0" w:after="240"/>
    </w:pPr>
    <w:rPr>
      <w:szCs w:val="20"/>
      <w:lang w:eastAsia="en-IE"/>
    </w:rPr>
  </w:style>
  <w:style w:type="paragraph" w:styleId="MacroText">
    <w:name w:val="macro"/>
    <w:basedOn w:val="Normal"/>
    <w:link w:val="MacroTextChar"/>
    <w:uiPriority w:val="1"/>
    <w:qFormat/>
    <w:rsid w:val="00517B47"/>
    <w:pPr>
      <w:tabs>
        <w:tab w:val="left" w:pos="482"/>
        <w:tab w:val="left" w:pos="958"/>
        <w:tab w:val="left" w:pos="1440"/>
        <w:tab w:val="left" w:pos="1922"/>
        <w:tab w:val="left" w:pos="2398"/>
        <w:tab w:val="left" w:pos="2880"/>
        <w:tab w:val="left" w:pos="3362"/>
        <w:tab w:val="left" w:pos="3838"/>
        <w:tab w:val="left" w:pos="4320"/>
      </w:tabs>
      <w:spacing w:before="0" w:after="240"/>
    </w:pPr>
    <w:rPr>
      <w:rFonts w:ascii="Courier New" w:hAnsi="Courier New"/>
      <w:sz w:val="22"/>
      <w:szCs w:val="20"/>
      <w:lang w:eastAsia="en-IE"/>
    </w:rPr>
  </w:style>
  <w:style w:type="character" w:customStyle="1" w:styleId="MacroTextChar">
    <w:name w:val="Macro Text Char"/>
    <w:basedOn w:val="DefaultParagraphFont"/>
    <w:link w:val="MacroText"/>
    <w:uiPriority w:val="1"/>
    <w:rsid w:val="00517B47"/>
    <w:rPr>
      <w:rFonts w:ascii="Courier New" w:hAnsi="Courier New"/>
      <w:sz w:val="22"/>
      <w:lang w:eastAsia="en-IE"/>
    </w:rPr>
  </w:style>
  <w:style w:type="paragraph" w:customStyle="1" w:styleId="Marking">
    <w:name w:val="Marking"/>
    <w:basedOn w:val="Normal"/>
    <w:semiHidden/>
    <w:rsid w:val="00517B47"/>
    <w:pPr>
      <w:spacing w:before="0" w:after="240"/>
      <w:ind w:left="5102" w:right="-567"/>
      <w:contextualSpacing/>
      <w:jc w:val="left"/>
    </w:pPr>
    <w:rPr>
      <w:sz w:val="28"/>
      <w:szCs w:val="20"/>
      <w:lang w:eastAsia="en-IE"/>
    </w:rPr>
  </w:style>
  <w:style w:type="paragraph" w:customStyle="1" w:styleId="References">
    <w:name w:val="References"/>
    <w:basedOn w:val="Normal"/>
    <w:uiPriority w:val="1"/>
    <w:rsid w:val="00517B47"/>
    <w:pPr>
      <w:spacing w:before="0" w:after="240"/>
      <w:ind w:left="5102" w:right="-567"/>
      <w:contextualSpacing/>
      <w:jc w:val="left"/>
    </w:pPr>
    <w:rPr>
      <w:sz w:val="20"/>
      <w:szCs w:val="20"/>
      <w:lang w:eastAsia="en-IE"/>
    </w:rPr>
  </w:style>
  <w:style w:type="paragraph" w:customStyle="1" w:styleId="Releasable">
    <w:name w:val="Releasable"/>
    <w:basedOn w:val="Normal"/>
    <w:semiHidden/>
    <w:rsid w:val="00517B47"/>
    <w:pPr>
      <w:spacing w:before="0" w:after="0"/>
      <w:jc w:val="center"/>
    </w:pPr>
    <w:rPr>
      <w:b/>
      <w:caps/>
      <w:sz w:val="32"/>
      <w:szCs w:val="20"/>
      <w:lang w:eastAsia="en-IE"/>
    </w:rPr>
  </w:style>
  <w:style w:type="paragraph" w:customStyle="1" w:styleId="RUE">
    <w:name w:val="RUE"/>
    <w:basedOn w:val="Normal"/>
    <w:semiHidden/>
    <w:rsid w:val="00517B47"/>
    <w:pPr>
      <w:spacing w:before="0" w:after="0"/>
      <w:jc w:val="center"/>
    </w:pPr>
    <w:rPr>
      <w:b/>
      <w:caps/>
      <w:sz w:val="32"/>
      <w:szCs w:val="20"/>
      <w:bdr w:val="single" w:sz="18" w:space="0" w:color="auto"/>
      <w:lang w:eastAsia="en-IE"/>
    </w:rPr>
  </w:style>
  <w:style w:type="paragraph" w:customStyle="1" w:styleId="SecretUE">
    <w:name w:val="Secret UE"/>
    <w:basedOn w:val="Normal"/>
    <w:semiHidden/>
    <w:rsid w:val="00517B47"/>
    <w:pPr>
      <w:spacing w:before="0" w:after="0"/>
      <w:jc w:val="center"/>
    </w:pPr>
    <w:rPr>
      <w:b/>
      <w:caps/>
      <w:color w:val="FF0000"/>
      <w:sz w:val="32"/>
      <w:szCs w:val="20"/>
      <w:bdr w:val="single" w:sz="18" w:space="0" w:color="FF0000"/>
      <w:lang w:eastAsia="en-IE"/>
    </w:rPr>
  </w:style>
  <w:style w:type="paragraph" w:styleId="Signature">
    <w:name w:val="Signature"/>
    <w:basedOn w:val="Normal"/>
    <w:link w:val="SignatureChar"/>
    <w:uiPriority w:val="2"/>
    <w:rsid w:val="00517B47"/>
    <w:pPr>
      <w:spacing w:before="1200" w:after="0"/>
      <w:ind w:left="5102"/>
      <w:jc w:val="center"/>
    </w:pPr>
    <w:rPr>
      <w:szCs w:val="20"/>
      <w:lang w:eastAsia="en-IE"/>
    </w:rPr>
  </w:style>
  <w:style w:type="character" w:customStyle="1" w:styleId="SignatureChar">
    <w:name w:val="Signature Char"/>
    <w:basedOn w:val="DefaultParagraphFont"/>
    <w:link w:val="Signature"/>
    <w:uiPriority w:val="2"/>
    <w:rsid w:val="00517B47"/>
    <w:rPr>
      <w:sz w:val="24"/>
      <w:lang w:eastAsia="en-IE"/>
    </w:rPr>
  </w:style>
  <w:style w:type="paragraph" w:customStyle="1" w:styleId="SignatureL">
    <w:name w:val="SignatureL"/>
    <w:basedOn w:val="Normal"/>
    <w:uiPriority w:val="2"/>
    <w:rsid w:val="00517B47"/>
    <w:pPr>
      <w:spacing w:before="1200" w:after="0"/>
      <w:jc w:val="left"/>
    </w:pPr>
    <w:rPr>
      <w:szCs w:val="20"/>
      <w:lang w:eastAsia="en-IE"/>
    </w:rPr>
  </w:style>
  <w:style w:type="paragraph" w:customStyle="1" w:styleId="SubTitle1">
    <w:name w:val="SubTitle 1"/>
    <w:basedOn w:val="Normal"/>
    <w:next w:val="SubTitle2"/>
    <w:uiPriority w:val="1"/>
    <w:qFormat/>
    <w:rsid w:val="00517B47"/>
    <w:pPr>
      <w:spacing w:before="0" w:after="240"/>
      <w:jc w:val="center"/>
    </w:pPr>
    <w:rPr>
      <w:b/>
      <w:sz w:val="40"/>
      <w:szCs w:val="20"/>
      <w:lang w:eastAsia="en-IE"/>
    </w:rPr>
  </w:style>
  <w:style w:type="paragraph" w:customStyle="1" w:styleId="SubTitle2">
    <w:name w:val="SubTitle 2"/>
    <w:basedOn w:val="Normal"/>
    <w:uiPriority w:val="1"/>
    <w:qFormat/>
    <w:rsid w:val="00517B47"/>
    <w:pPr>
      <w:spacing w:before="0" w:after="240"/>
      <w:jc w:val="center"/>
    </w:pPr>
    <w:rPr>
      <w:b/>
      <w:sz w:val="32"/>
      <w:szCs w:val="20"/>
      <w:lang w:eastAsia="en-IE"/>
    </w:rPr>
  </w:style>
  <w:style w:type="paragraph" w:customStyle="1" w:styleId="TableListBullet">
    <w:name w:val="Table List Bullet"/>
    <w:basedOn w:val="TableText"/>
    <w:uiPriority w:val="1"/>
    <w:rsid w:val="00517B47"/>
    <w:pPr>
      <w:numPr>
        <w:numId w:val="44"/>
      </w:numPr>
    </w:pPr>
  </w:style>
  <w:style w:type="paragraph" w:customStyle="1" w:styleId="TableListBulletLevel2">
    <w:name w:val="Table List Bullet (Level 2)"/>
    <w:basedOn w:val="TableText"/>
    <w:uiPriority w:val="1"/>
    <w:rsid w:val="00517B47"/>
    <w:pPr>
      <w:numPr>
        <w:ilvl w:val="1"/>
        <w:numId w:val="44"/>
      </w:numPr>
    </w:pPr>
  </w:style>
  <w:style w:type="paragraph" w:customStyle="1" w:styleId="TableListBulletLevel3">
    <w:name w:val="Table List Bullet (Level 3)"/>
    <w:basedOn w:val="TableText"/>
    <w:uiPriority w:val="1"/>
    <w:semiHidden/>
    <w:unhideWhenUsed/>
    <w:rsid w:val="00517B47"/>
    <w:pPr>
      <w:numPr>
        <w:ilvl w:val="2"/>
        <w:numId w:val="44"/>
      </w:numPr>
    </w:pPr>
  </w:style>
  <w:style w:type="paragraph" w:customStyle="1" w:styleId="TableListBulletLevel4">
    <w:name w:val="Table List Bullet (Level 4)"/>
    <w:basedOn w:val="TableText"/>
    <w:uiPriority w:val="1"/>
    <w:semiHidden/>
    <w:unhideWhenUsed/>
    <w:rsid w:val="00517B47"/>
    <w:pPr>
      <w:numPr>
        <w:ilvl w:val="3"/>
        <w:numId w:val="44"/>
      </w:numPr>
    </w:pPr>
  </w:style>
  <w:style w:type="paragraph" w:customStyle="1" w:styleId="TableListDash">
    <w:name w:val="Table List Dash"/>
    <w:basedOn w:val="TableText"/>
    <w:uiPriority w:val="1"/>
    <w:rsid w:val="00517B47"/>
    <w:pPr>
      <w:numPr>
        <w:numId w:val="45"/>
      </w:numPr>
    </w:pPr>
  </w:style>
  <w:style w:type="paragraph" w:customStyle="1" w:styleId="TableListDashLevel2">
    <w:name w:val="Table List Dash (Level 2)"/>
    <w:basedOn w:val="TableText"/>
    <w:uiPriority w:val="1"/>
    <w:rsid w:val="00517B47"/>
    <w:pPr>
      <w:numPr>
        <w:ilvl w:val="1"/>
        <w:numId w:val="45"/>
      </w:numPr>
    </w:pPr>
  </w:style>
  <w:style w:type="paragraph" w:customStyle="1" w:styleId="TableListDashLevel3">
    <w:name w:val="Table List Dash (Level 3)"/>
    <w:basedOn w:val="TableText"/>
    <w:uiPriority w:val="1"/>
    <w:semiHidden/>
    <w:unhideWhenUsed/>
    <w:rsid w:val="00517B47"/>
    <w:pPr>
      <w:numPr>
        <w:ilvl w:val="2"/>
        <w:numId w:val="45"/>
      </w:numPr>
    </w:pPr>
  </w:style>
  <w:style w:type="paragraph" w:customStyle="1" w:styleId="TableListDashLevel4">
    <w:name w:val="Table List Dash (Level 4)"/>
    <w:basedOn w:val="TableText"/>
    <w:uiPriority w:val="1"/>
    <w:semiHidden/>
    <w:unhideWhenUsed/>
    <w:rsid w:val="00517B47"/>
    <w:pPr>
      <w:numPr>
        <w:ilvl w:val="3"/>
        <w:numId w:val="45"/>
      </w:numPr>
    </w:pPr>
  </w:style>
  <w:style w:type="paragraph" w:customStyle="1" w:styleId="TableListNumber">
    <w:name w:val="Table List Number"/>
    <w:basedOn w:val="TableText"/>
    <w:uiPriority w:val="1"/>
    <w:rsid w:val="00517B47"/>
    <w:pPr>
      <w:numPr>
        <w:numId w:val="46"/>
      </w:numPr>
    </w:pPr>
  </w:style>
  <w:style w:type="paragraph" w:customStyle="1" w:styleId="TableListNumberLevel2">
    <w:name w:val="Table List Number (Level 2)"/>
    <w:basedOn w:val="TableText"/>
    <w:uiPriority w:val="1"/>
    <w:rsid w:val="00517B47"/>
    <w:pPr>
      <w:numPr>
        <w:ilvl w:val="1"/>
        <w:numId w:val="46"/>
      </w:numPr>
    </w:pPr>
  </w:style>
  <w:style w:type="paragraph" w:customStyle="1" w:styleId="TableListNumberLevel3">
    <w:name w:val="Table List Number (Level 3)"/>
    <w:basedOn w:val="TableText"/>
    <w:uiPriority w:val="1"/>
    <w:semiHidden/>
    <w:unhideWhenUsed/>
    <w:rsid w:val="00517B47"/>
    <w:pPr>
      <w:numPr>
        <w:ilvl w:val="2"/>
        <w:numId w:val="46"/>
      </w:numPr>
    </w:pPr>
  </w:style>
  <w:style w:type="paragraph" w:customStyle="1" w:styleId="TableListNumberLevel4">
    <w:name w:val="Table List Number (Level 4)"/>
    <w:basedOn w:val="TableText"/>
    <w:uiPriority w:val="1"/>
    <w:semiHidden/>
    <w:unhideWhenUsed/>
    <w:rsid w:val="00517B47"/>
    <w:pPr>
      <w:numPr>
        <w:ilvl w:val="3"/>
        <w:numId w:val="46"/>
      </w:numPr>
    </w:pPr>
  </w:style>
  <w:style w:type="paragraph" w:customStyle="1" w:styleId="TableSource">
    <w:name w:val="Table Source"/>
    <w:basedOn w:val="Normal"/>
    <w:next w:val="Normal"/>
    <w:semiHidden/>
    <w:unhideWhenUsed/>
    <w:rsid w:val="00517B47"/>
    <w:pPr>
      <w:spacing w:before="0" w:after="240"/>
    </w:pPr>
    <w:rPr>
      <w:sz w:val="20"/>
      <w:szCs w:val="20"/>
      <w:lang w:eastAsia="en-IE"/>
    </w:rPr>
  </w:style>
  <w:style w:type="paragraph" w:customStyle="1" w:styleId="TableSource1">
    <w:name w:val="Table Source 1"/>
    <w:basedOn w:val="Text1"/>
    <w:next w:val="Text1"/>
    <w:semiHidden/>
    <w:unhideWhenUsed/>
    <w:rsid w:val="00517B47"/>
    <w:pPr>
      <w:spacing w:before="0" w:after="240"/>
      <w:ind w:left="482"/>
    </w:pPr>
    <w:rPr>
      <w:sz w:val="20"/>
      <w:szCs w:val="20"/>
      <w:lang w:eastAsia="en-IE"/>
    </w:rPr>
  </w:style>
  <w:style w:type="paragraph" w:customStyle="1" w:styleId="TableSource2">
    <w:name w:val="Table Source 2"/>
    <w:basedOn w:val="Text2"/>
    <w:next w:val="Text2"/>
    <w:semiHidden/>
    <w:unhideWhenUsed/>
    <w:rsid w:val="00517B47"/>
    <w:pPr>
      <w:spacing w:before="0" w:after="240"/>
      <w:ind w:left="1202"/>
    </w:pPr>
    <w:rPr>
      <w:sz w:val="20"/>
      <w:szCs w:val="20"/>
      <w:lang w:eastAsia="en-IE"/>
    </w:rPr>
  </w:style>
  <w:style w:type="paragraph" w:customStyle="1" w:styleId="TableSource3">
    <w:name w:val="Table Source 3"/>
    <w:basedOn w:val="Text3"/>
    <w:next w:val="Text3"/>
    <w:semiHidden/>
    <w:unhideWhenUsed/>
    <w:rsid w:val="00517B47"/>
    <w:pPr>
      <w:spacing w:before="0" w:after="240"/>
      <w:ind w:left="1202"/>
    </w:pPr>
    <w:rPr>
      <w:sz w:val="20"/>
      <w:szCs w:val="20"/>
      <w:lang w:eastAsia="en-IE"/>
    </w:rPr>
  </w:style>
  <w:style w:type="paragraph" w:customStyle="1" w:styleId="TableSource4">
    <w:name w:val="Table Source 4"/>
    <w:basedOn w:val="Text4"/>
    <w:next w:val="Text4"/>
    <w:semiHidden/>
    <w:unhideWhenUsed/>
    <w:rsid w:val="00517B47"/>
    <w:pPr>
      <w:spacing w:before="0" w:after="240"/>
      <w:ind w:left="1202"/>
    </w:pPr>
    <w:rPr>
      <w:sz w:val="20"/>
      <w:szCs w:val="20"/>
      <w:lang w:eastAsia="en-IE"/>
    </w:rPr>
  </w:style>
  <w:style w:type="paragraph" w:customStyle="1" w:styleId="TableText">
    <w:name w:val="Table Text"/>
    <w:basedOn w:val="Normal"/>
    <w:uiPriority w:val="1"/>
    <w:qFormat/>
    <w:rsid w:val="00517B47"/>
    <w:pPr>
      <w:spacing w:before="60" w:after="60"/>
      <w:jc w:val="left"/>
    </w:pPr>
    <w:rPr>
      <w:szCs w:val="20"/>
      <w:lang w:eastAsia="en-IE"/>
    </w:rPr>
  </w:style>
  <w:style w:type="paragraph" w:customStyle="1" w:styleId="TableTitle1">
    <w:name w:val="Table Title 1"/>
    <w:basedOn w:val="Text1"/>
    <w:uiPriority w:val="1"/>
    <w:semiHidden/>
    <w:unhideWhenUsed/>
    <w:rsid w:val="00517B47"/>
    <w:pPr>
      <w:keepNext/>
      <w:spacing w:before="0"/>
      <w:ind w:left="482"/>
    </w:pPr>
    <w:rPr>
      <w:b/>
      <w:i/>
      <w:szCs w:val="20"/>
      <w:lang w:eastAsia="en-IE"/>
    </w:rPr>
  </w:style>
  <w:style w:type="paragraph" w:customStyle="1" w:styleId="TableTitle2">
    <w:name w:val="Table Title 2"/>
    <w:basedOn w:val="Text2"/>
    <w:uiPriority w:val="1"/>
    <w:semiHidden/>
    <w:unhideWhenUsed/>
    <w:rsid w:val="00517B47"/>
    <w:pPr>
      <w:keepNext/>
      <w:spacing w:before="0"/>
      <w:ind w:left="1202"/>
    </w:pPr>
    <w:rPr>
      <w:b/>
      <w:i/>
      <w:szCs w:val="20"/>
      <w:lang w:eastAsia="en-IE"/>
    </w:rPr>
  </w:style>
  <w:style w:type="paragraph" w:customStyle="1" w:styleId="TableTitle3">
    <w:name w:val="Table Title 3"/>
    <w:basedOn w:val="Text3"/>
    <w:uiPriority w:val="1"/>
    <w:semiHidden/>
    <w:unhideWhenUsed/>
    <w:rsid w:val="00517B47"/>
    <w:pPr>
      <w:keepNext/>
      <w:spacing w:before="0"/>
      <w:ind w:left="1202"/>
    </w:pPr>
    <w:rPr>
      <w:b/>
      <w:i/>
      <w:szCs w:val="20"/>
      <w:lang w:eastAsia="en-IE"/>
    </w:rPr>
  </w:style>
  <w:style w:type="paragraph" w:customStyle="1" w:styleId="TableTitle4">
    <w:name w:val="Table Title 4"/>
    <w:basedOn w:val="Text4"/>
    <w:uiPriority w:val="1"/>
    <w:semiHidden/>
    <w:unhideWhenUsed/>
    <w:rsid w:val="00517B47"/>
    <w:pPr>
      <w:keepNext/>
      <w:spacing w:before="0"/>
      <w:ind w:left="1202"/>
    </w:pPr>
    <w:rPr>
      <w:b/>
      <w:i/>
      <w:szCs w:val="20"/>
      <w:lang w:eastAsia="en-IE"/>
    </w:rPr>
  </w:style>
  <w:style w:type="paragraph" w:styleId="Title">
    <w:name w:val="Title"/>
    <w:basedOn w:val="Normal"/>
    <w:next w:val="SubTitle1"/>
    <w:link w:val="TitleChar"/>
    <w:uiPriority w:val="1"/>
    <w:qFormat/>
    <w:rsid w:val="00517B47"/>
    <w:pPr>
      <w:spacing w:before="0" w:after="480"/>
      <w:jc w:val="center"/>
    </w:pPr>
    <w:rPr>
      <w:b/>
      <w:kern w:val="28"/>
      <w:sz w:val="48"/>
      <w:szCs w:val="20"/>
      <w:lang w:eastAsia="en-IE"/>
    </w:rPr>
  </w:style>
  <w:style w:type="character" w:customStyle="1" w:styleId="TitleChar">
    <w:name w:val="Title Char"/>
    <w:basedOn w:val="DefaultParagraphFont"/>
    <w:link w:val="Title"/>
    <w:uiPriority w:val="1"/>
    <w:rsid w:val="00517B47"/>
    <w:rPr>
      <w:b/>
      <w:kern w:val="28"/>
      <w:sz w:val="48"/>
      <w:lang w:eastAsia="en-IE"/>
    </w:rPr>
  </w:style>
  <w:style w:type="paragraph" w:customStyle="1" w:styleId="TrsSecretUE">
    <w:name w:val="Très Secret UE"/>
    <w:basedOn w:val="Normal"/>
    <w:semiHidden/>
    <w:rsid w:val="00517B47"/>
    <w:pPr>
      <w:spacing w:before="0" w:after="0"/>
      <w:jc w:val="center"/>
    </w:pPr>
    <w:rPr>
      <w:b/>
      <w:caps/>
      <w:color w:val="FF0000"/>
      <w:sz w:val="32"/>
      <w:szCs w:val="20"/>
      <w:bdr w:val="single" w:sz="18" w:space="0" w:color="FF0000"/>
      <w:lang w:eastAsia="en-IE"/>
    </w:rPr>
  </w:style>
  <w:style w:type="paragraph" w:customStyle="1" w:styleId="ZCom">
    <w:name w:val="Z_Com"/>
    <w:basedOn w:val="Normal"/>
    <w:next w:val="Normal"/>
    <w:uiPriority w:val="2"/>
    <w:rsid w:val="00517B47"/>
    <w:pPr>
      <w:widowControl w:val="0"/>
      <w:spacing w:before="90" w:after="0"/>
      <w:ind w:right="85"/>
      <w:jc w:val="left"/>
    </w:pPr>
    <w:rPr>
      <w:szCs w:val="20"/>
      <w:lang w:eastAsia="en-IE"/>
    </w:rPr>
  </w:style>
  <w:style w:type="paragraph" w:customStyle="1" w:styleId="ZDGName">
    <w:name w:val="Z_DGName"/>
    <w:basedOn w:val="Normal"/>
    <w:uiPriority w:val="2"/>
    <w:rsid w:val="00517B47"/>
    <w:pPr>
      <w:widowControl w:val="0"/>
      <w:spacing w:before="0" w:after="0"/>
      <w:ind w:right="85"/>
      <w:jc w:val="left"/>
    </w:pPr>
    <w:rPr>
      <w:sz w:val="16"/>
      <w:szCs w:val="20"/>
      <w:lang w:eastAsia="en-IE"/>
    </w:rPr>
  </w:style>
  <w:style w:type="paragraph" w:customStyle="1" w:styleId="ZFlag">
    <w:name w:val="Z_Flag"/>
    <w:basedOn w:val="Normal"/>
    <w:next w:val="Normal"/>
    <w:uiPriority w:val="2"/>
    <w:rsid w:val="00517B47"/>
    <w:pPr>
      <w:widowControl w:val="0"/>
      <w:spacing w:before="0" w:after="0"/>
      <w:ind w:right="85"/>
    </w:pPr>
    <w:rPr>
      <w:szCs w:val="20"/>
      <w:lang w:eastAsia="en-IE"/>
    </w:rPr>
  </w:style>
  <w:style w:type="character" w:customStyle="1" w:styleId="HeaderChar">
    <w:name w:val="Header Char"/>
    <w:basedOn w:val="DefaultParagraphFont"/>
    <w:link w:val="Header"/>
    <w:uiPriority w:val="2"/>
    <w:rsid w:val="00517B47"/>
    <w:rPr>
      <w:sz w:val="24"/>
      <w:szCs w:val="24"/>
      <w:lang w:eastAsia="en-US"/>
    </w:rPr>
  </w:style>
  <w:style w:type="table" w:customStyle="1" w:styleId="EurolookClassicBlue">
    <w:name w:val="Eurolook Classic Blue"/>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rsid w:val="00517B47"/>
    <w:rPr>
      <w:sz w:val="24"/>
      <w:lang w:val="en-GB"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rsid w:val="00517B47"/>
    <w:tblPr>
      <w:tblInd w:w="482" w:type="dxa"/>
    </w:tblPr>
    <w:tblStylePr w:type="firstRow">
      <w:rPr>
        <w:b/>
      </w:rPr>
    </w:tblStylePr>
  </w:style>
  <w:style w:type="table" w:customStyle="1" w:styleId="EurolookTable2">
    <w:name w:val="Eurolook Table 2"/>
    <w:basedOn w:val="EurolookTable"/>
    <w:semiHidden/>
    <w:unhideWhenUsed/>
    <w:rsid w:val="00517B47"/>
    <w:tblPr>
      <w:tblInd w:w="1202" w:type="dxa"/>
    </w:tblPr>
    <w:tblStylePr w:type="firstRow">
      <w:rPr>
        <w:b/>
      </w:rPr>
    </w:tblStylePr>
  </w:style>
  <w:style w:type="table" w:customStyle="1" w:styleId="EurolookTable3">
    <w:name w:val="Eurolook Table 3"/>
    <w:basedOn w:val="EurolookTable"/>
    <w:semiHidden/>
    <w:unhideWhenUsed/>
    <w:rsid w:val="00517B47"/>
    <w:tblPr>
      <w:tblInd w:w="1202" w:type="dxa"/>
    </w:tblPr>
    <w:tblStylePr w:type="firstRow">
      <w:rPr>
        <w:b/>
      </w:rPr>
    </w:tblStylePr>
  </w:style>
  <w:style w:type="table" w:customStyle="1" w:styleId="EurolookTable4">
    <w:name w:val="Eurolook Table 4"/>
    <w:basedOn w:val="EurolookTable"/>
    <w:semiHidden/>
    <w:unhideWhenUsed/>
    <w:rsid w:val="00517B47"/>
    <w:tblPr>
      <w:tblInd w:w="1202" w:type="dxa"/>
    </w:tblPr>
    <w:tblStylePr w:type="firstRow">
      <w:rPr>
        <w:b/>
      </w:rPr>
    </w:tblStylePr>
  </w:style>
  <w:style w:type="table" w:customStyle="1" w:styleId="HelperTableBase">
    <w:name w:val="Helper Table Base"/>
    <w:semiHidden/>
    <w:rsid w:val="00517B47"/>
    <w:rPr>
      <w:sz w:val="24"/>
      <w:lang w:eastAsia="en-I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517B47"/>
    <w:tblPr>
      <w:tblCellMar>
        <w:left w:w="567" w:type="dxa"/>
      </w:tblCellMar>
    </w:tblPr>
  </w:style>
  <w:style w:type="table" w:styleId="TableGrid">
    <w:name w:val="Table Grid"/>
    <w:rsid w:val="00517B47"/>
    <w:rPr>
      <w:sz w:val="24"/>
      <w:lang w:eastAsia="en-I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rsid w:val="00517B47"/>
    <w:pPr>
      <w:spacing w:before="60" w:after="60" w:line="264" w:lineRule="auto"/>
    </w:pPr>
    <w:rPr>
      <w:sz w:val="22"/>
      <w:lang w:eastAsia="en-IE"/>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rsid w:val="00517B47"/>
    <w:rPr>
      <w:sz w:val="24"/>
      <w:lang w:eastAsia="en-IE"/>
    </w:rPr>
    <w:tblPr>
      <w:tblCellMar>
        <w:left w:w="0" w:type="dxa"/>
        <w:bottom w:w="340" w:type="dxa"/>
        <w:right w:w="0" w:type="dxa"/>
      </w:tblCellMar>
    </w:tblPr>
  </w:style>
  <w:style w:type="character" w:customStyle="1" w:styleId="UnresolvedMention">
    <w:name w:val="Unresolved Mention"/>
    <w:basedOn w:val="DefaultParagraphFont"/>
    <w:uiPriority w:val="99"/>
    <w:semiHidden/>
    <w:unhideWhenUsed/>
    <w:rsid w:val="0070473B"/>
    <w:rPr>
      <w:color w:val="605E5C"/>
      <w:shd w:val="clear" w:color="auto" w:fill="E1DFDD"/>
    </w:rPr>
  </w:style>
  <w:style w:type="paragraph" w:customStyle="1" w:styleId="FootnotesymbolChar">
    <w:name w:val="Footnote symbol Char"/>
    <w:aliases w:val="Footnote reference number Char,Times 10 Point Char,Exposant 3 Point Char,EN Footnote Reference Char,note TESI Char,SUPERS Char,Nota Char,Footnote number Char, Char1 Char,Char1 Char,Ref Char,de nota al pie Char"/>
    <w:basedOn w:val="Normal"/>
    <w:link w:val="FootnoteReference"/>
    <w:uiPriority w:val="99"/>
    <w:rsid w:val="001F6885"/>
    <w:pPr>
      <w:spacing w:after="160" w:line="240" w:lineRule="exact"/>
    </w:pPr>
    <w:rPr>
      <w:sz w:val="20"/>
      <w:szCs w:val="20"/>
      <w:vertAlign w:val="superscript"/>
      <w:lang w:eastAsia="en-GB"/>
    </w:rPr>
  </w:style>
  <w:style w:type="character" w:customStyle="1" w:styleId="Mention">
    <w:name w:val="Mention"/>
    <w:basedOn w:val="DefaultParagraphFont"/>
    <w:uiPriority w:val="99"/>
    <w:unhideWhenUsed/>
    <w:rsid w:val="00A2049F"/>
    <w:rPr>
      <w:color w:val="2B579A"/>
      <w:shd w:val="clear" w:color="auto" w:fill="E1DFDD"/>
    </w:rPr>
  </w:style>
  <w:style w:type="paragraph" w:styleId="NormalWeb">
    <w:name w:val="Normal (Web)"/>
    <w:basedOn w:val="Normal"/>
    <w:uiPriority w:val="99"/>
    <w:unhideWhenUsed/>
    <w:rsid w:val="0041144F"/>
    <w:pPr>
      <w:spacing w:before="100" w:beforeAutospacing="1" w:after="100" w:afterAutospacing="1"/>
      <w:jc w:val="left"/>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74773">
      <w:bodyDiv w:val="1"/>
      <w:marLeft w:val="0"/>
      <w:marRight w:val="0"/>
      <w:marTop w:val="0"/>
      <w:marBottom w:val="0"/>
      <w:divBdr>
        <w:top w:val="none" w:sz="0" w:space="0" w:color="auto"/>
        <w:left w:val="none" w:sz="0" w:space="0" w:color="auto"/>
        <w:bottom w:val="none" w:sz="0" w:space="0" w:color="auto"/>
        <w:right w:val="none" w:sz="0" w:space="0" w:color="auto"/>
      </w:divBdr>
    </w:div>
    <w:div w:id="181167043">
      <w:bodyDiv w:val="1"/>
      <w:marLeft w:val="0"/>
      <w:marRight w:val="0"/>
      <w:marTop w:val="0"/>
      <w:marBottom w:val="0"/>
      <w:divBdr>
        <w:top w:val="none" w:sz="0" w:space="0" w:color="auto"/>
        <w:left w:val="none" w:sz="0" w:space="0" w:color="auto"/>
        <w:bottom w:val="none" w:sz="0" w:space="0" w:color="auto"/>
        <w:right w:val="none" w:sz="0" w:space="0" w:color="auto"/>
      </w:divBdr>
    </w:div>
    <w:div w:id="250552186">
      <w:bodyDiv w:val="1"/>
      <w:marLeft w:val="0"/>
      <w:marRight w:val="0"/>
      <w:marTop w:val="0"/>
      <w:marBottom w:val="0"/>
      <w:divBdr>
        <w:top w:val="none" w:sz="0" w:space="0" w:color="auto"/>
        <w:left w:val="none" w:sz="0" w:space="0" w:color="auto"/>
        <w:bottom w:val="none" w:sz="0" w:space="0" w:color="auto"/>
        <w:right w:val="none" w:sz="0" w:space="0" w:color="auto"/>
      </w:divBdr>
    </w:div>
    <w:div w:id="355159041">
      <w:bodyDiv w:val="1"/>
      <w:marLeft w:val="0"/>
      <w:marRight w:val="0"/>
      <w:marTop w:val="0"/>
      <w:marBottom w:val="0"/>
      <w:divBdr>
        <w:top w:val="none" w:sz="0" w:space="0" w:color="auto"/>
        <w:left w:val="none" w:sz="0" w:space="0" w:color="auto"/>
        <w:bottom w:val="none" w:sz="0" w:space="0" w:color="auto"/>
        <w:right w:val="none" w:sz="0" w:space="0" w:color="auto"/>
      </w:divBdr>
    </w:div>
    <w:div w:id="505828075">
      <w:bodyDiv w:val="1"/>
      <w:marLeft w:val="0"/>
      <w:marRight w:val="0"/>
      <w:marTop w:val="0"/>
      <w:marBottom w:val="0"/>
      <w:divBdr>
        <w:top w:val="none" w:sz="0" w:space="0" w:color="auto"/>
        <w:left w:val="none" w:sz="0" w:space="0" w:color="auto"/>
        <w:bottom w:val="none" w:sz="0" w:space="0" w:color="auto"/>
        <w:right w:val="none" w:sz="0" w:space="0" w:color="auto"/>
      </w:divBdr>
      <w:divsChild>
        <w:div w:id="35082185">
          <w:marLeft w:val="0"/>
          <w:marRight w:val="0"/>
          <w:marTop w:val="0"/>
          <w:marBottom w:val="0"/>
          <w:divBdr>
            <w:top w:val="none" w:sz="0" w:space="0" w:color="auto"/>
            <w:left w:val="none" w:sz="0" w:space="0" w:color="auto"/>
            <w:bottom w:val="none" w:sz="0" w:space="0" w:color="auto"/>
            <w:right w:val="none" w:sz="0" w:space="0" w:color="auto"/>
          </w:divBdr>
        </w:div>
        <w:div w:id="2073192326">
          <w:marLeft w:val="0"/>
          <w:marRight w:val="0"/>
          <w:marTop w:val="0"/>
          <w:marBottom w:val="0"/>
          <w:divBdr>
            <w:top w:val="none" w:sz="0" w:space="0" w:color="auto"/>
            <w:left w:val="none" w:sz="0" w:space="0" w:color="auto"/>
            <w:bottom w:val="none" w:sz="0" w:space="0" w:color="auto"/>
            <w:right w:val="none" w:sz="0" w:space="0" w:color="auto"/>
          </w:divBdr>
        </w:div>
      </w:divsChild>
    </w:div>
    <w:div w:id="507985800">
      <w:bodyDiv w:val="1"/>
      <w:marLeft w:val="0"/>
      <w:marRight w:val="0"/>
      <w:marTop w:val="0"/>
      <w:marBottom w:val="0"/>
      <w:divBdr>
        <w:top w:val="none" w:sz="0" w:space="0" w:color="auto"/>
        <w:left w:val="none" w:sz="0" w:space="0" w:color="auto"/>
        <w:bottom w:val="none" w:sz="0" w:space="0" w:color="auto"/>
        <w:right w:val="none" w:sz="0" w:space="0" w:color="auto"/>
      </w:divBdr>
    </w:div>
    <w:div w:id="536358232">
      <w:bodyDiv w:val="1"/>
      <w:marLeft w:val="0"/>
      <w:marRight w:val="0"/>
      <w:marTop w:val="0"/>
      <w:marBottom w:val="0"/>
      <w:divBdr>
        <w:top w:val="none" w:sz="0" w:space="0" w:color="auto"/>
        <w:left w:val="none" w:sz="0" w:space="0" w:color="auto"/>
        <w:bottom w:val="none" w:sz="0" w:space="0" w:color="auto"/>
        <w:right w:val="none" w:sz="0" w:space="0" w:color="auto"/>
      </w:divBdr>
    </w:div>
    <w:div w:id="635835820">
      <w:bodyDiv w:val="1"/>
      <w:marLeft w:val="0"/>
      <w:marRight w:val="0"/>
      <w:marTop w:val="0"/>
      <w:marBottom w:val="0"/>
      <w:divBdr>
        <w:top w:val="none" w:sz="0" w:space="0" w:color="auto"/>
        <w:left w:val="none" w:sz="0" w:space="0" w:color="auto"/>
        <w:bottom w:val="none" w:sz="0" w:space="0" w:color="auto"/>
        <w:right w:val="none" w:sz="0" w:space="0" w:color="auto"/>
      </w:divBdr>
    </w:div>
    <w:div w:id="795639484">
      <w:bodyDiv w:val="1"/>
      <w:marLeft w:val="0"/>
      <w:marRight w:val="0"/>
      <w:marTop w:val="0"/>
      <w:marBottom w:val="0"/>
      <w:divBdr>
        <w:top w:val="none" w:sz="0" w:space="0" w:color="auto"/>
        <w:left w:val="none" w:sz="0" w:space="0" w:color="auto"/>
        <w:bottom w:val="none" w:sz="0" w:space="0" w:color="auto"/>
        <w:right w:val="none" w:sz="0" w:space="0" w:color="auto"/>
      </w:divBdr>
    </w:div>
    <w:div w:id="864097976">
      <w:bodyDiv w:val="1"/>
      <w:marLeft w:val="0"/>
      <w:marRight w:val="0"/>
      <w:marTop w:val="0"/>
      <w:marBottom w:val="0"/>
      <w:divBdr>
        <w:top w:val="none" w:sz="0" w:space="0" w:color="auto"/>
        <w:left w:val="none" w:sz="0" w:space="0" w:color="auto"/>
        <w:bottom w:val="none" w:sz="0" w:space="0" w:color="auto"/>
        <w:right w:val="none" w:sz="0" w:space="0" w:color="auto"/>
      </w:divBdr>
    </w:div>
    <w:div w:id="1042511485">
      <w:bodyDiv w:val="1"/>
      <w:marLeft w:val="0"/>
      <w:marRight w:val="0"/>
      <w:marTop w:val="0"/>
      <w:marBottom w:val="0"/>
      <w:divBdr>
        <w:top w:val="none" w:sz="0" w:space="0" w:color="auto"/>
        <w:left w:val="none" w:sz="0" w:space="0" w:color="auto"/>
        <w:bottom w:val="none" w:sz="0" w:space="0" w:color="auto"/>
        <w:right w:val="none" w:sz="0" w:space="0" w:color="auto"/>
      </w:divBdr>
    </w:div>
    <w:div w:id="1173884544">
      <w:bodyDiv w:val="1"/>
      <w:marLeft w:val="0"/>
      <w:marRight w:val="0"/>
      <w:marTop w:val="0"/>
      <w:marBottom w:val="0"/>
      <w:divBdr>
        <w:top w:val="none" w:sz="0" w:space="0" w:color="auto"/>
        <w:left w:val="none" w:sz="0" w:space="0" w:color="auto"/>
        <w:bottom w:val="none" w:sz="0" w:space="0" w:color="auto"/>
        <w:right w:val="none" w:sz="0" w:space="0" w:color="auto"/>
      </w:divBdr>
    </w:div>
    <w:div w:id="1208302833">
      <w:bodyDiv w:val="1"/>
      <w:marLeft w:val="0"/>
      <w:marRight w:val="0"/>
      <w:marTop w:val="0"/>
      <w:marBottom w:val="0"/>
      <w:divBdr>
        <w:top w:val="none" w:sz="0" w:space="0" w:color="auto"/>
        <w:left w:val="none" w:sz="0" w:space="0" w:color="auto"/>
        <w:bottom w:val="none" w:sz="0" w:space="0" w:color="auto"/>
        <w:right w:val="none" w:sz="0" w:space="0" w:color="auto"/>
      </w:divBdr>
    </w:div>
    <w:div w:id="1263033010">
      <w:bodyDiv w:val="1"/>
      <w:marLeft w:val="0"/>
      <w:marRight w:val="0"/>
      <w:marTop w:val="0"/>
      <w:marBottom w:val="0"/>
      <w:divBdr>
        <w:top w:val="none" w:sz="0" w:space="0" w:color="auto"/>
        <w:left w:val="none" w:sz="0" w:space="0" w:color="auto"/>
        <w:bottom w:val="none" w:sz="0" w:space="0" w:color="auto"/>
        <w:right w:val="none" w:sz="0" w:space="0" w:color="auto"/>
      </w:divBdr>
      <w:divsChild>
        <w:div w:id="119956700">
          <w:marLeft w:val="0"/>
          <w:marRight w:val="0"/>
          <w:marTop w:val="0"/>
          <w:marBottom w:val="0"/>
          <w:divBdr>
            <w:top w:val="none" w:sz="0" w:space="0" w:color="auto"/>
            <w:left w:val="none" w:sz="0" w:space="0" w:color="auto"/>
            <w:bottom w:val="none" w:sz="0" w:space="0" w:color="auto"/>
            <w:right w:val="none" w:sz="0" w:space="0" w:color="auto"/>
          </w:divBdr>
        </w:div>
        <w:div w:id="1922713854">
          <w:marLeft w:val="0"/>
          <w:marRight w:val="0"/>
          <w:marTop w:val="0"/>
          <w:marBottom w:val="0"/>
          <w:divBdr>
            <w:top w:val="none" w:sz="0" w:space="0" w:color="auto"/>
            <w:left w:val="none" w:sz="0" w:space="0" w:color="auto"/>
            <w:bottom w:val="none" w:sz="0" w:space="0" w:color="auto"/>
            <w:right w:val="none" w:sz="0" w:space="0" w:color="auto"/>
          </w:divBdr>
        </w:div>
      </w:divsChild>
    </w:div>
    <w:div w:id="1284846259">
      <w:bodyDiv w:val="1"/>
      <w:marLeft w:val="0"/>
      <w:marRight w:val="0"/>
      <w:marTop w:val="0"/>
      <w:marBottom w:val="0"/>
      <w:divBdr>
        <w:top w:val="none" w:sz="0" w:space="0" w:color="auto"/>
        <w:left w:val="none" w:sz="0" w:space="0" w:color="auto"/>
        <w:bottom w:val="none" w:sz="0" w:space="0" w:color="auto"/>
        <w:right w:val="none" w:sz="0" w:space="0" w:color="auto"/>
      </w:divBdr>
    </w:div>
    <w:div w:id="1287739526">
      <w:bodyDiv w:val="1"/>
      <w:marLeft w:val="0"/>
      <w:marRight w:val="0"/>
      <w:marTop w:val="0"/>
      <w:marBottom w:val="0"/>
      <w:divBdr>
        <w:top w:val="none" w:sz="0" w:space="0" w:color="auto"/>
        <w:left w:val="none" w:sz="0" w:space="0" w:color="auto"/>
        <w:bottom w:val="none" w:sz="0" w:space="0" w:color="auto"/>
        <w:right w:val="none" w:sz="0" w:space="0" w:color="auto"/>
      </w:divBdr>
    </w:div>
    <w:div w:id="1308704405">
      <w:bodyDiv w:val="1"/>
      <w:marLeft w:val="0"/>
      <w:marRight w:val="0"/>
      <w:marTop w:val="0"/>
      <w:marBottom w:val="0"/>
      <w:divBdr>
        <w:top w:val="none" w:sz="0" w:space="0" w:color="auto"/>
        <w:left w:val="none" w:sz="0" w:space="0" w:color="auto"/>
        <w:bottom w:val="none" w:sz="0" w:space="0" w:color="auto"/>
        <w:right w:val="none" w:sz="0" w:space="0" w:color="auto"/>
      </w:divBdr>
    </w:div>
    <w:div w:id="1551109001">
      <w:bodyDiv w:val="1"/>
      <w:marLeft w:val="0"/>
      <w:marRight w:val="0"/>
      <w:marTop w:val="0"/>
      <w:marBottom w:val="0"/>
      <w:divBdr>
        <w:top w:val="none" w:sz="0" w:space="0" w:color="auto"/>
        <w:left w:val="none" w:sz="0" w:space="0" w:color="auto"/>
        <w:bottom w:val="none" w:sz="0" w:space="0" w:color="auto"/>
        <w:right w:val="none" w:sz="0" w:space="0" w:color="auto"/>
      </w:divBdr>
    </w:div>
    <w:div w:id="1583953757">
      <w:bodyDiv w:val="1"/>
      <w:marLeft w:val="0"/>
      <w:marRight w:val="0"/>
      <w:marTop w:val="0"/>
      <w:marBottom w:val="0"/>
      <w:divBdr>
        <w:top w:val="none" w:sz="0" w:space="0" w:color="auto"/>
        <w:left w:val="none" w:sz="0" w:space="0" w:color="auto"/>
        <w:bottom w:val="none" w:sz="0" w:space="0" w:color="auto"/>
        <w:right w:val="none" w:sz="0" w:space="0" w:color="auto"/>
      </w:divBdr>
    </w:div>
    <w:div w:id="1762333802">
      <w:bodyDiv w:val="1"/>
      <w:marLeft w:val="0"/>
      <w:marRight w:val="0"/>
      <w:marTop w:val="0"/>
      <w:marBottom w:val="0"/>
      <w:divBdr>
        <w:top w:val="none" w:sz="0" w:space="0" w:color="auto"/>
        <w:left w:val="none" w:sz="0" w:space="0" w:color="auto"/>
        <w:bottom w:val="none" w:sz="0" w:space="0" w:color="auto"/>
        <w:right w:val="none" w:sz="0" w:space="0" w:color="auto"/>
      </w:divBdr>
    </w:div>
    <w:div w:id="2055999386">
      <w:bodyDiv w:val="1"/>
      <w:marLeft w:val="0"/>
      <w:marRight w:val="0"/>
      <w:marTop w:val="0"/>
      <w:marBottom w:val="0"/>
      <w:divBdr>
        <w:top w:val="none" w:sz="0" w:space="0" w:color="auto"/>
        <w:left w:val="none" w:sz="0" w:space="0" w:color="auto"/>
        <w:bottom w:val="none" w:sz="0" w:space="0" w:color="auto"/>
        <w:right w:val="none" w:sz="0" w:space="0" w:color="auto"/>
      </w:divBdr>
    </w:div>
    <w:div w:id="2134591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legal-content/FR/TXT/?uri=celex:52025DC0095" TargetMode="External"/><Relationship Id="rId21" Type="http://schemas.openxmlformats.org/officeDocument/2006/relationships/hyperlink" Target="https://eur-lex.europa.eu/eli/reg/2021/765/oj" TargetMode="External"/><Relationship Id="rId34" Type="http://schemas.openxmlformats.org/officeDocument/2006/relationships/hyperlink" Target="https://eur-lex.europa.eu/legal-content/FR/TXT/?uri=COM%3A2025%3A1027%3AFIN" TargetMode="External"/><Relationship Id="rId42" Type="http://schemas.openxmlformats.org/officeDocument/2006/relationships/hyperlink" Target="https://eic.ec.europa.eu/eic-funding-opportunities/eic-accelerator_en" TargetMode="External"/><Relationship Id="rId47" Type="http://schemas.openxmlformats.org/officeDocument/2006/relationships/hyperlink" Target="https://op.europa.eu/fr/publication-detail/-/publication/616cce9c-39e5-11f0-8a44-01aa75ed71a1/language-fr" TargetMode="External"/><Relationship Id="rId50" Type="http://schemas.openxmlformats.org/officeDocument/2006/relationships/hyperlink" Target="https://eur-lex.europa.eu/legal-content/EN/TXT/?uri=PI_COM%3AC%282025%294011&amp;qid=1767969425803" TargetMode="External"/><Relationship Id="rId55" Type="http://schemas.openxmlformats.org/officeDocument/2006/relationships/hyperlink" Target="https://digital-strategy.ec.europa.eu/en/news/eu-launches-investai-initiative-mobilise-eu200-billion-investment-artificial-intelligence" TargetMode="External"/><Relationship Id="rId63" Type="http://schemas.openxmlformats.org/officeDocument/2006/relationships/hyperlink" Target="https://allatlanticocean.org/" TargetMode="External"/><Relationship Id="rId68" Type="http://schemas.openxmlformats.org/officeDocument/2006/relationships/hyperlink" Target="https://joint-research-centre.ec.europa.eu/jrc-news-and-updates/jrc-launches-border-security-lab-2025-04-10_en" TargetMode="External"/><Relationship Id="rId76" Type="http://schemas.openxmlformats.org/officeDocument/2006/relationships/hyperlink" Target="https://data.europa.eu/doi/10.2760/6258234" TargetMode="External"/><Relationship Id="rId84" Type="http://schemas.openxmlformats.org/officeDocument/2006/relationships/hyperlink" Target="https://www.horizonresultsbooster.eu/" TargetMode="External"/><Relationship Id="rId89" Type="http://schemas.openxmlformats.org/officeDocument/2006/relationships/hyperlink" Target="https://webgate.ec.europa.eu/circabc-ewpp/d/d/workspace/SpacesStore/d5970517-ec7c-4aa6-af5a-77fc8dde33a9/download" TargetMode="External"/><Relationship Id="rId97" Type="http://schemas.openxmlformats.org/officeDocument/2006/relationships/footer" Target="footer4.xml"/><Relationship Id="rId7" Type="http://schemas.openxmlformats.org/officeDocument/2006/relationships/settings" Target="settings.xml"/><Relationship Id="rId71" Type="http://schemas.openxmlformats.org/officeDocument/2006/relationships/hyperlink" Target="https://urban-mobility-observatory.transport.ec.europa.eu/news-events/news/joint-research-centre-launches-transport-poverty-hub-enhance-regional-connectivity-across-europe-2025-07-15_en" TargetMode="External"/><Relationship Id="rId92" Type="http://schemas.openxmlformats.org/officeDocument/2006/relationships/hyperlink" Target="https://www.ejp-eurad.eu/" TargetMode="Externa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environment.ec.europa.eu/strategy/bioeconomy-strategy_en?prefLang=fr" TargetMode="External"/><Relationship Id="rId11" Type="http://schemas.openxmlformats.org/officeDocument/2006/relationships/image" Target="media/image1.emf"/><Relationship Id="rId24" Type="http://schemas.openxmlformats.org/officeDocument/2006/relationships/hyperlink" Target="https://research-and-innovation.ec.europa.eu/strategy/strategy-research-and-innovation/our-digital-future/european-strategy-research-and-technology-infrastructures_fr" TargetMode="External"/><Relationship Id="rId32" Type="http://schemas.openxmlformats.org/officeDocument/2006/relationships/hyperlink" Target="https://new-european-bauhaus.europa.eu/index_en?prefLang=fr" TargetMode="External"/><Relationship Id="rId37" Type="http://schemas.openxmlformats.org/officeDocument/2006/relationships/hyperlink" Target="https://eur-lex.europa.eu/legal-content/fr/TXT/HTML/?uri=CELEX:52025JC0120" TargetMode="External"/><Relationship Id="rId40" Type="http://schemas.openxmlformats.org/officeDocument/2006/relationships/hyperlink" Target="https://ec.europa.eu/commission/presscorner/detail/fr/ip_25_1076" TargetMode="External"/><Relationship Id="rId45" Type="http://schemas.openxmlformats.org/officeDocument/2006/relationships/hyperlink" Target="https://eur-lex.europa.eu/legal-content/FR/TXT/?uri=CELEX%3A52025DC0280&amp;qid=1750857768458" TargetMode="External"/><Relationship Id="rId53" Type="http://schemas.openxmlformats.org/officeDocument/2006/relationships/hyperlink" Target="https://digital-strategy.ec.europa.eu/fr/library/ai-continent-action-plan" TargetMode="External"/><Relationship Id="rId58" Type="http://schemas.openxmlformats.org/officeDocument/2006/relationships/hyperlink" Target="https://research-and-innovation.ec.europa.eu/news/all-research-and-innovation-news/european-commission-unveils-european-digital-twin-ocean-prototype-2024-06-13_fr" TargetMode="External"/><Relationship Id="rId66" Type="http://schemas.openxmlformats.org/officeDocument/2006/relationships/hyperlink" Target="https://commission.europa.eu/topics/international-partnerships/global-gateway_en?prefLang=fr" TargetMode="External"/><Relationship Id="rId74" Type="http://schemas.openxmlformats.org/officeDocument/2006/relationships/hyperlink" Target="https://data.europa.eu/doi/10.2777/2941871" TargetMode="External"/><Relationship Id="rId79" Type="http://schemas.openxmlformats.org/officeDocument/2006/relationships/hyperlink" Target="https://op.europa.eu/fr/publication-detail/-/publication/19a32537-c11d-11f0-a612-01aa75ed71a1/language-fr" TargetMode="External"/><Relationship Id="rId87" Type="http://schemas.openxmlformats.org/officeDocument/2006/relationships/hyperlink" Target="https://eur-lex.europa.eu/legal-content/FR/TXT/?uri=celex:32025R1304" TargetMode="External"/><Relationship Id="rId102"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op.europa.eu/fr/publication-detail/-/publication/c246671a-78b6-11f0-9af8-01aa75ed71a1/language-fr" TargetMode="External"/><Relationship Id="rId82" Type="http://schemas.openxmlformats.org/officeDocument/2006/relationships/hyperlink" Target="https://eur-lex.europa.eu/legal-content/EN/TXT/?uri=CELEX%3A52025SC0555&amp;qid=1754901373347" TargetMode="External"/><Relationship Id="rId90" Type="http://schemas.openxmlformats.org/officeDocument/2006/relationships/hyperlink" Target="https://cordis.europa.eu/project/id/101213280" TargetMode="External"/><Relationship Id="rId95" Type="http://schemas.openxmlformats.org/officeDocument/2006/relationships/header" Target="header4.xml"/><Relationship Id="rId19" Type="http://schemas.openxmlformats.org/officeDocument/2006/relationships/hyperlink" Target="https://eur-lex.europa.eu/eli/treaty/euratom_2012/oj" TargetMode="External"/><Relationship Id="rId14" Type="http://schemas.openxmlformats.org/officeDocument/2006/relationships/footer" Target="footer1.xml"/><Relationship Id="rId22" Type="http://schemas.openxmlformats.org/officeDocument/2006/relationships/hyperlink" Target="https://commission.europa.eu/topics/research-and-innovation/choose-europe_fr" TargetMode="External"/><Relationship Id="rId27" Type="http://schemas.openxmlformats.org/officeDocument/2006/relationships/hyperlink" Target="https://eur-lex.europa.eu/legal-content/FR/TXT/?uri=celex:52025DC0075" TargetMode="External"/><Relationship Id="rId30" Type="http://schemas.openxmlformats.org/officeDocument/2006/relationships/hyperlink" Target="https://eur-lex.europa.eu/legal-content/EN/TXT/?uri=CELEX%3A52025PC1022" TargetMode="External"/><Relationship Id="rId35" Type="http://schemas.openxmlformats.org/officeDocument/2006/relationships/hyperlink" Target="https://eur-lex.europa.eu/legal-content/FR/TXT/?uri=celex:52025JC0130" TargetMode="External"/><Relationship Id="rId43" Type="http://schemas.openxmlformats.org/officeDocument/2006/relationships/hyperlink" Target="https://commission.europa.eu/topics/competitiveness/clean-industrial-deal_fr" TargetMode="External"/><Relationship Id="rId48" Type="http://schemas.openxmlformats.org/officeDocument/2006/relationships/hyperlink" Target="https://eur-lex.europa.eu/legal-content/FR/TXT/?uri=CELEX%3A52025DC0079&amp;qid=1741780110418" TargetMode="External"/><Relationship Id="rId56" Type="http://schemas.openxmlformats.org/officeDocument/2006/relationships/hyperlink" Target="https://digital-strategy.ec.europa.eu/en/news/eu-expands-network-ai-factories-strengthening-its-ai-continent-ambition" TargetMode="External"/><Relationship Id="rId64" Type="http://schemas.openxmlformats.org/officeDocument/2006/relationships/hyperlink" Target="https://allatlanticocean.org/news/tackling-coastal-risks-new-all-atlantic-network-of-beacon-sites-launched-to-link-local-resilience-efforts/" TargetMode="External"/><Relationship Id="rId69" Type="http://schemas.openxmlformats.org/officeDocument/2006/relationships/hyperlink" Target="https://publications.jrc.ec.europa.eu/repository/handle/JRC144743" TargetMode="External"/><Relationship Id="rId77" Type="http://schemas.openxmlformats.org/officeDocument/2006/relationships/hyperlink" Target="https://data.europa.eu/doi/10.2777/4058193" TargetMode="External"/><Relationship Id="rId100"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hyperlink" Target="https://eur-lex.europa.eu/legal-content/FR/TXT/?uri=CELEX%3A52025DC1005&amp;qid=1770212329024" TargetMode="External"/><Relationship Id="rId72" Type="http://schemas.openxmlformats.org/officeDocument/2006/relationships/hyperlink" Target="https://joint-research-centre.ec.europa.eu/jrc-news-and-updates/air-quality-pm25-atlases-track-pollution-sources-eu-cities-and-beyond-2025-12-01_en" TargetMode="External"/><Relationship Id="rId80" Type="http://schemas.openxmlformats.org/officeDocument/2006/relationships/hyperlink" Target="https://research-and-innovation.ec.europa.eu/document/download/a3aa9b90-15c0-4ea7-b25e-9f4e29cfa740_en?filename=ec_rtd_he-evaluation-swd.pdf" TargetMode="External"/><Relationship Id="rId85" Type="http://schemas.openxmlformats.org/officeDocument/2006/relationships/hyperlink" Target="https://cordis.europa.eu/fr" TargetMode="External"/><Relationship Id="rId93" Type="http://schemas.openxmlformats.org/officeDocument/2006/relationships/hyperlink" Target="https://ec.europa.eu/commission/presscorner/detail/fr/ip_25_2529" TargetMode="External"/><Relationship Id="rId98"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commission.europa.eu/business-economy-euro/european-semester_fr" TargetMode="External"/><Relationship Id="rId33" Type="http://schemas.openxmlformats.org/officeDocument/2006/relationships/hyperlink" Target="https://eur-lex.europa.eu/legal-content/FR/TXT/?uri=celex:52025DC1026" TargetMode="External"/><Relationship Id="rId38" Type="http://schemas.openxmlformats.org/officeDocument/2006/relationships/hyperlink" Target="https://eur-lex.europa.eu/legal-content/FR/TXT/?uri=celex:52025JC0027" TargetMode="External"/><Relationship Id="rId46" Type="http://schemas.openxmlformats.org/officeDocument/2006/relationships/hyperlink" Target="https://eur-lex.europa.eu/legal-content/FR/ALL/?uri=comnat:COM_2025_0281_FIN" TargetMode="External"/><Relationship Id="rId59" Type="http://schemas.openxmlformats.org/officeDocument/2006/relationships/hyperlink" Target="https://eur-lex.europa.eu/legal-content/FR/TXT/?uri=celex:52025JC0140" TargetMode="External"/><Relationship Id="rId67" Type="http://schemas.openxmlformats.org/officeDocument/2006/relationships/hyperlink" Target="https://publications.jrc.ec.europa.eu/repository/handle/JRC142598" TargetMode="External"/><Relationship Id="rId20" Type="http://schemas.openxmlformats.org/officeDocument/2006/relationships/hyperlink" Target="https://eur-lex.europa.eu/legal-content/FR/ALL/?uri=CELEX:32021R0695" TargetMode="External"/><Relationship Id="rId41" Type="http://schemas.openxmlformats.org/officeDocument/2006/relationships/hyperlink" Target="https://strategic-technologies.europa.eu/index_fr" TargetMode="External"/><Relationship Id="rId54" Type="http://schemas.openxmlformats.org/officeDocument/2006/relationships/hyperlink" Target="https://digital-strategy.ec.europa.eu/en/policies/apply-ai" TargetMode="External"/><Relationship Id="rId62" Type="http://schemas.openxmlformats.org/officeDocument/2006/relationships/hyperlink" Target="http://stip.oecd.org/" TargetMode="External"/><Relationship Id="rId70" Type="http://schemas.openxmlformats.org/officeDocument/2006/relationships/hyperlink" Target="https://publications.jrc.ec.europa.eu/repository/handle/JRC142938" TargetMode="External"/><Relationship Id="rId75" Type="http://schemas.openxmlformats.org/officeDocument/2006/relationships/hyperlink" Target="https://op.europa.eu/fr/publication-detail/-/publication/f740c592-1b56-11f0-b1a3-01aa75ed71a1/language-fr" TargetMode="External"/><Relationship Id="rId83" Type="http://schemas.openxmlformats.org/officeDocument/2006/relationships/hyperlink" Target="https://ec.europa.eu/info/funding-tenders/opportunities/portal/screen/opportunities/horizon-results-platform" TargetMode="External"/><Relationship Id="rId88" Type="http://schemas.openxmlformats.org/officeDocument/2006/relationships/hyperlink" Target="https://eur-lex.europa.eu/legal-content/FR/TXT/?uri=celex:52025DC0061" TargetMode="External"/><Relationship Id="rId91" Type="http://schemas.openxmlformats.org/officeDocument/2006/relationships/hyperlink" Target="https://pianoforte-partnership.eu/" TargetMode="External"/><Relationship Id="rId9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research-and-innovation.ec.europa.eu/strategy/strategy-research-and-innovation/jobs-and-economy/eu-startup-and-scaleup-strategy_fr" TargetMode="External"/><Relationship Id="rId28" Type="http://schemas.openxmlformats.org/officeDocument/2006/relationships/hyperlink" Target="https://eur-lex.europa.eu/legal-content/FR/TXT/?uri=celex:52025DC0530" TargetMode="External"/><Relationship Id="rId36" Type="http://schemas.openxmlformats.org/officeDocument/2006/relationships/hyperlink" Target="https://eur-lex.europa.eu/legal-content/FR/TXT/?uri=CELEX%3A52025DC0148" TargetMode="External"/><Relationship Id="rId49" Type="http://schemas.openxmlformats.org/officeDocument/2006/relationships/hyperlink" Target="https://energy.ec.europa.eu/publications/2025-progress-report-competitiveness-clean-energy-technologies_fr" TargetMode="External"/><Relationship Id="rId57" Type="http://schemas.openxmlformats.org/officeDocument/2006/relationships/hyperlink" Target="https://digital-strategy.ec.europa.eu/en/library/quantum-europe-strategy" TargetMode="External"/><Relationship Id="rId10" Type="http://schemas.openxmlformats.org/officeDocument/2006/relationships/endnotes" Target="endnotes.xml"/><Relationship Id="rId31" Type="http://schemas.openxmlformats.org/officeDocument/2006/relationships/hyperlink" Target="https://eur-lex.europa.eu/legal-content/FR/TXT/?uri=CELEX%3A52025DC0525&amp;qid=1762330863739" TargetMode="External"/><Relationship Id="rId44" Type="http://schemas.openxmlformats.org/officeDocument/2006/relationships/hyperlink" Target="https://eur-lex.europa.eu/eli/dir/2025/2360/oj" TargetMode="External"/><Relationship Id="rId52" Type="http://schemas.openxmlformats.org/officeDocument/2006/relationships/hyperlink" Target="https://research-and-innovation.ec.europa.eu/strategy/strategy-research-and-innovation/our-digital-future/european-ai-science-strategy_fr" TargetMode="External"/><Relationship Id="rId60" Type="http://schemas.openxmlformats.org/officeDocument/2006/relationships/hyperlink" Target="https://research-and-innovation.ec.europa.eu/knowledge-publications-tools-and-data/documents_en?f%5B0%5D=document_title%3ARecovery%20and%20Resilience%20Facility" TargetMode="External"/><Relationship Id="rId65" Type="http://schemas.openxmlformats.org/officeDocument/2006/relationships/hyperlink" Target="https://allatlanticocean.org/news/all-atlantic-blue-intergenerational-programme-and-its-pilot-integrated-platform-launched-to-strengthen-ocean-cooperation-across-generations/" TargetMode="External"/><Relationship Id="rId73" Type="http://schemas.openxmlformats.org/officeDocument/2006/relationships/hyperlink" Target="https://ec.europa.eu/info/funding-tenders/opportunities/docs/2021-2027/common/guidance/list-3rd-country-participation_horizon-euratom_en.pdf" TargetMode="External"/><Relationship Id="rId78" Type="http://schemas.openxmlformats.org/officeDocument/2006/relationships/hyperlink" Target="https://data.europa.eu/doi/10.2777/1580173" TargetMode="External"/><Relationship Id="rId81" Type="http://schemas.openxmlformats.org/officeDocument/2006/relationships/hyperlink" Target="https://eur-lex.europa.eu/legal-content/FR/TXT/?uri=celex:52025DC0189" TargetMode="External"/><Relationship Id="rId86" Type="http://schemas.openxmlformats.org/officeDocument/2006/relationships/hyperlink" Target="https://eur-lex.europa.eu/legal-content/FR/TXT/?uri=celex:52025PC0060" TargetMode="External"/><Relationship Id="rId94" Type="http://schemas.openxmlformats.org/officeDocument/2006/relationships/hyperlink" Target="https://research-and-innovation.ec.europa.eu/research-area/industrial-research-and-innovation/chemicals-and-advanced-materials/towards-advanced-materials-act_fr" TargetMode="External"/><Relationship Id="rId99" Type="http://schemas.openxmlformats.org/officeDocument/2006/relationships/header" Target="header6.xm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eur-lex.europa.eu/legal-content/FR/TXT/?uri=celex%3A12016ME%2FTXT" TargetMode="External"/><Relationship Id="rId39" Type="http://schemas.openxmlformats.org/officeDocument/2006/relationships/hyperlink" Target="https://eur-lex.europa.eu/legal-content/FR/TXT/?uri=celex:52025DC084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ic.ec.europa.eu/document/download/7b947b36-66cb-4471-a2d0-158d5ae6770f_en?filename=EIC-Impact-Report-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F1E423E1053143A72AC4DF303AC6F5" ma:contentTypeVersion="20" ma:contentTypeDescription="Create a new document." ma:contentTypeScope="" ma:versionID="7384a6ee1daebc9df38306f9ab095c63">
  <xsd:schema xmlns:xsd="http://www.w3.org/2001/XMLSchema" xmlns:xs="http://www.w3.org/2001/XMLSchema" xmlns:p="http://schemas.microsoft.com/office/2006/metadata/properties" xmlns:ns2="d47e9b79-a238-4c23-8f8d-deb36af73bea" xmlns:ns3="827efdc9-378e-418a-934d-4e27c154476b" targetNamespace="http://schemas.microsoft.com/office/2006/metadata/properties" ma:root="true" ma:fieldsID="d8f634f894a04c6f772a1a5f5f52b46d" ns2:_="" ns3:_="">
    <xsd:import namespace="d47e9b79-a238-4c23-8f8d-deb36af73bea"/>
    <xsd:import namespace="827efdc9-378e-418a-934d-4e27c15447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ategory" minOccurs="0"/>
                <xsd:element ref="ns3:SharedWithUsers" minOccurs="0"/>
                <xsd:element ref="ns3:SharedWithDetails" minOccurs="0"/>
                <xsd:element ref="ns2:MediaServiceDateTaken" minOccurs="0"/>
                <xsd:element ref="ns2:MediaLengthInSeconds" minOccurs="0"/>
                <xsd:element ref="ns2:MediaServiceAutoTags" minOccurs="0"/>
                <xsd:element ref="ns2:Kind"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9b79-a238-4c23-8f8d-deb36af73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ategory" ma:index="12" nillable="true" ma:displayName="Category" ma:format="Dropdown" ma:internalName="Category">
      <xsd:simpleType>
        <xsd:restriction base="dms:Choice">
          <xsd:enumeration value="Choice 1"/>
          <xsd:enumeration value="fake category"/>
          <xsd:enumeration value="double fake"/>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Kind" ma:index="18" nillable="true" ma:displayName="Kind" ma:format="Dropdown" ma:indexed="true" ma:internalName="Kind">
      <xsd:simpleType>
        <xsd:restriction base="dms:Choice">
          <xsd:enumeration value="fake kind"/>
          <xsd:enumeration value="Choice 2"/>
          <xsd:enumeration value="Choice 3"/>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efdc9-378e-418a-934d-4e27c154476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56360f6-15ca-43a0-b8cc-5886f6f40889}" ma:internalName="TaxCatchAll" ma:showField="CatchAllData" ma:web="827efdc9-378e-418a-934d-4e27c15447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27efdc9-378e-418a-934d-4e27c154476b" xsi:nil="true"/>
    <Kind xmlns="d47e9b79-a238-4c23-8f8d-deb36af73bea" xsi:nil="true"/>
    <lcf76f155ced4ddcb4097134ff3c332f xmlns="d47e9b79-a238-4c23-8f8d-deb36af73bea">
      <Terms xmlns="http://schemas.microsoft.com/office/infopath/2007/PartnerControls"/>
    </lcf76f155ced4ddcb4097134ff3c332f>
    <Category xmlns="d47e9b79-a238-4c23-8f8d-deb36af73bea"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6953BF9-CD24-4CF0-A6FB-59914B357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9b79-a238-4c23-8f8d-deb36af73bea"/>
    <ds:schemaRef ds:uri="827efdc9-378e-418a-934d-4e27c15447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35BB4-B09A-4668-B3DB-DB3728F41E65}">
  <ds:schemaRefs>
    <ds:schemaRef ds:uri="http://schemas.microsoft.com/sharepoint/v3/contenttype/forms"/>
  </ds:schemaRefs>
</ds:datastoreItem>
</file>

<file path=customXml/itemProps3.xml><?xml version="1.0" encoding="utf-8"?>
<ds:datastoreItem xmlns:ds="http://schemas.openxmlformats.org/officeDocument/2006/customXml" ds:itemID="{A697B13C-CC42-4D42-B0EA-3AC3D912816F}">
  <ds:schemaRefs>
    <ds:schemaRef ds:uri="http://schemas.microsoft.com/office/2006/metadata/properties"/>
    <ds:schemaRef ds:uri="http://schemas.microsoft.com/office/infopath/2007/PartnerControls"/>
    <ds:schemaRef ds:uri="827efdc9-378e-418a-934d-4e27c154476b"/>
    <ds:schemaRef ds:uri="d47e9b79-a238-4c23-8f8d-deb36af73bea"/>
  </ds:schemaRefs>
</ds:datastoreItem>
</file>

<file path=customXml/itemProps4.xml><?xml version="1.0" encoding="utf-8"?>
<ds:datastoreItem xmlns:ds="http://schemas.openxmlformats.org/officeDocument/2006/customXml" ds:itemID="{8F143A47-13E2-4FD4-89D3-A059E7086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16</Pages>
  <Words>6518</Words>
  <Characters>37156</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43587</CharactersWithSpaces>
  <SharedDoc>false</SharedDoc>
  <HLinks>
    <vt:vector size="468" baseType="variant">
      <vt:variant>
        <vt:i4>6291530</vt:i4>
      </vt:variant>
      <vt:variant>
        <vt:i4>237</vt:i4>
      </vt:variant>
      <vt:variant>
        <vt:i4>0</vt:i4>
      </vt:variant>
      <vt:variant>
        <vt:i4>5</vt:i4>
      </vt:variant>
      <vt:variant>
        <vt:lpwstr>https://research-and-innovation.ec.europa.eu/research-area/industrial-research-and-innovation/chemicals-and-advanced-materials/towards-advanced-materials-act_en</vt:lpwstr>
      </vt:variant>
      <vt:variant>
        <vt:lpwstr/>
      </vt:variant>
      <vt:variant>
        <vt:i4>7536738</vt:i4>
      </vt:variant>
      <vt:variant>
        <vt:i4>234</vt:i4>
      </vt:variant>
      <vt:variant>
        <vt:i4>0</vt:i4>
      </vt:variant>
      <vt:variant>
        <vt:i4>5</vt:i4>
      </vt:variant>
      <vt:variant>
        <vt:lpwstr>https://ec.europa.eu/commission/presscorner/detail/en/ip_25_2529</vt:lpwstr>
      </vt:variant>
      <vt:variant>
        <vt:lpwstr/>
      </vt:variant>
      <vt:variant>
        <vt:i4>4194371</vt:i4>
      </vt:variant>
      <vt:variant>
        <vt:i4>231</vt:i4>
      </vt:variant>
      <vt:variant>
        <vt:i4>0</vt:i4>
      </vt:variant>
      <vt:variant>
        <vt:i4>5</vt:i4>
      </vt:variant>
      <vt:variant>
        <vt:lpwstr>https://www.ejp-eurad.eu/</vt:lpwstr>
      </vt:variant>
      <vt:variant>
        <vt:lpwstr/>
      </vt:variant>
      <vt:variant>
        <vt:i4>2818105</vt:i4>
      </vt:variant>
      <vt:variant>
        <vt:i4>228</vt:i4>
      </vt:variant>
      <vt:variant>
        <vt:i4>0</vt:i4>
      </vt:variant>
      <vt:variant>
        <vt:i4>5</vt:i4>
      </vt:variant>
      <vt:variant>
        <vt:lpwstr>https://pianoforte-partnership.eu/</vt:lpwstr>
      </vt:variant>
      <vt:variant>
        <vt:lpwstr/>
      </vt:variant>
      <vt:variant>
        <vt:i4>1310740</vt:i4>
      </vt:variant>
      <vt:variant>
        <vt:i4>225</vt:i4>
      </vt:variant>
      <vt:variant>
        <vt:i4>0</vt:i4>
      </vt:variant>
      <vt:variant>
        <vt:i4>5</vt:i4>
      </vt:variant>
      <vt:variant>
        <vt:lpwstr>https://cordis.europa.eu/project/id/101213280</vt:lpwstr>
      </vt:variant>
      <vt:variant>
        <vt:lpwstr/>
      </vt:variant>
      <vt:variant>
        <vt:i4>6160389</vt:i4>
      </vt:variant>
      <vt:variant>
        <vt:i4>222</vt:i4>
      </vt:variant>
      <vt:variant>
        <vt:i4>0</vt:i4>
      </vt:variant>
      <vt:variant>
        <vt:i4>5</vt:i4>
      </vt:variant>
      <vt:variant>
        <vt:lpwstr>https://webgate.ec.europa.eu/circabc-ewpp/d/d/workspace/SpacesStore/d5970517-ec7c-4aa6-af5a-77fc8dde33a9/download</vt:lpwstr>
      </vt:variant>
      <vt:variant>
        <vt:lpwstr/>
      </vt:variant>
      <vt:variant>
        <vt:i4>393233</vt:i4>
      </vt:variant>
      <vt:variant>
        <vt:i4>219</vt:i4>
      </vt:variant>
      <vt:variant>
        <vt:i4>0</vt:i4>
      </vt:variant>
      <vt:variant>
        <vt:i4>5</vt:i4>
      </vt:variant>
      <vt:variant>
        <vt:lpwstr>https://eur-lex.europa.eu/legal-content/EN/TXT/?uri=celex:52025DC0061</vt:lpwstr>
      </vt:variant>
      <vt:variant>
        <vt:lpwstr/>
      </vt:variant>
      <vt:variant>
        <vt:i4>1114181</vt:i4>
      </vt:variant>
      <vt:variant>
        <vt:i4>216</vt:i4>
      </vt:variant>
      <vt:variant>
        <vt:i4>0</vt:i4>
      </vt:variant>
      <vt:variant>
        <vt:i4>5</vt:i4>
      </vt:variant>
      <vt:variant>
        <vt:lpwstr>https://eur-lex.europa.eu/legal-content/en/TXT/?uri=CELEX:32025R1304</vt:lpwstr>
      </vt:variant>
      <vt:variant>
        <vt:lpwstr/>
      </vt:variant>
      <vt:variant>
        <vt:i4>1179665</vt:i4>
      </vt:variant>
      <vt:variant>
        <vt:i4>213</vt:i4>
      </vt:variant>
      <vt:variant>
        <vt:i4>0</vt:i4>
      </vt:variant>
      <vt:variant>
        <vt:i4>5</vt:i4>
      </vt:variant>
      <vt:variant>
        <vt:lpwstr>https://eur-lex.europa.eu/legal-content/EN/TXT/?uri=celex:52025PC0060</vt:lpwstr>
      </vt:variant>
      <vt:variant>
        <vt:lpwstr/>
      </vt:variant>
      <vt:variant>
        <vt:i4>5570568</vt:i4>
      </vt:variant>
      <vt:variant>
        <vt:i4>210</vt:i4>
      </vt:variant>
      <vt:variant>
        <vt:i4>0</vt:i4>
      </vt:variant>
      <vt:variant>
        <vt:i4>5</vt:i4>
      </vt:variant>
      <vt:variant>
        <vt:lpwstr>https://cordis.europa.eu/</vt:lpwstr>
      </vt:variant>
      <vt:variant>
        <vt:lpwstr/>
      </vt:variant>
      <vt:variant>
        <vt:i4>1900612</vt:i4>
      </vt:variant>
      <vt:variant>
        <vt:i4>207</vt:i4>
      </vt:variant>
      <vt:variant>
        <vt:i4>0</vt:i4>
      </vt:variant>
      <vt:variant>
        <vt:i4>5</vt:i4>
      </vt:variant>
      <vt:variant>
        <vt:lpwstr>https://www.horizonresultsbooster.eu/</vt:lpwstr>
      </vt:variant>
      <vt:variant>
        <vt:lpwstr/>
      </vt:variant>
      <vt:variant>
        <vt:i4>4915200</vt:i4>
      </vt:variant>
      <vt:variant>
        <vt:i4>204</vt:i4>
      </vt:variant>
      <vt:variant>
        <vt:i4>0</vt:i4>
      </vt:variant>
      <vt:variant>
        <vt:i4>5</vt:i4>
      </vt:variant>
      <vt:variant>
        <vt:lpwstr>https://ec.europa.eu/info/funding-tenders/opportunities/portal/screen/opportunities/horizon-results-platform</vt:lpwstr>
      </vt:variant>
      <vt:variant>
        <vt:lpwstr/>
      </vt:variant>
      <vt:variant>
        <vt:i4>1638415</vt:i4>
      </vt:variant>
      <vt:variant>
        <vt:i4>201</vt:i4>
      </vt:variant>
      <vt:variant>
        <vt:i4>0</vt:i4>
      </vt:variant>
      <vt:variant>
        <vt:i4>5</vt:i4>
      </vt:variant>
      <vt:variant>
        <vt:lpwstr>https://eur-lex.europa.eu/legal-content/EN/TXT/?uri=CELEX%3A52025SC0555&amp;qid=1754901373347</vt:lpwstr>
      </vt:variant>
      <vt:variant>
        <vt:lpwstr/>
      </vt:variant>
      <vt:variant>
        <vt:i4>524304</vt:i4>
      </vt:variant>
      <vt:variant>
        <vt:i4>198</vt:i4>
      </vt:variant>
      <vt:variant>
        <vt:i4>0</vt:i4>
      </vt:variant>
      <vt:variant>
        <vt:i4>5</vt:i4>
      </vt:variant>
      <vt:variant>
        <vt:lpwstr>https://eur-lex.europa.eu/legal-content/EN/TXT/?uri=celex:52025DC0189</vt:lpwstr>
      </vt:variant>
      <vt:variant>
        <vt:lpwstr/>
      </vt:variant>
      <vt:variant>
        <vt:i4>7471194</vt:i4>
      </vt:variant>
      <vt:variant>
        <vt:i4>195</vt:i4>
      </vt:variant>
      <vt:variant>
        <vt:i4>0</vt:i4>
      </vt:variant>
      <vt:variant>
        <vt:i4>5</vt:i4>
      </vt:variant>
      <vt:variant>
        <vt:lpwstr>https://research-and-innovation.ec.europa.eu/document/download/a3aa9b90-15c0-4ea7-b25e-9f4e29cfa740_en?filename=ec_rtd_he-evaluation-swd.pdf</vt:lpwstr>
      </vt:variant>
      <vt:variant>
        <vt:lpwstr/>
      </vt:variant>
      <vt:variant>
        <vt:i4>4784195</vt:i4>
      </vt:variant>
      <vt:variant>
        <vt:i4>192</vt:i4>
      </vt:variant>
      <vt:variant>
        <vt:i4>0</vt:i4>
      </vt:variant>
      <vt:variant>
        <vt:i4>5</vt:i4>
      </vt:variant>
      <vt:variant>
        <vt:lpwstr>https://op.europa.eu/en/publication-detail/-/publication/19a32537-c11d-11f0-a612-01aa75ed71a1/language-en</vt:lpwstr>
      </vt:variant>
      <vt:variant>
        <vt:lpwstr/>
      </vt:variant>
      <vt:variant>
        <vt:i4>3407911</vt:i4>
      </vt:variant>
      <vt:variant>
        <vt:i4>189</vt:i4>
      </vt:variant>
      <vt:variant>
        <vt:i4>0</vt:i4>
      </vt:variant>
      <vt:variant>
        <vt:i4>5</vt:i4>
      </vt:variant>
      <vt:variant>
        <vt:lpwstr>https://data.europa.eu/doi/10.2777/1580173</vt:lpwstr>
      </vt:variant>
      <vt:variant>
        <vt:lpwstr/>
      </vt:variant>
      <vt:variant>
        <vt:i4>3932196</vt:i4>
      </vt:variant>
      <vt:variant>
        <vt:i4>186</vt:i4>
      </vt:variant>
      <vt:variant>
        <vt:i4>0</vt:i4>
      </vt:variant>
      <vt:variant>
        <vt:i4>5</vt:i4>
      </vt:variant>
      <vt:variant>
        <vt:lpwstr>https://data.europa.eu/doi/10.2777/4058193</vt:lpwstr>
      </vt:variant>
      <vt:variant>
        <vt:lpwstr/>
      </vt:variant>
      <vt:variant>
        <vt:i4>3997741</vt:i4>
      </vt:variant>
      <vt:variant>
        <vt:i4>183</vt:i4>
      </vt:variant>
      <vt:variant>
        <vt:i4>0</vt:i4>
      </vt:variant>
      <vt:variant>
        <vt:i4>5</vt:i4>
      </vt:variant>
      <vt:variant>
        <vt:lpwstr>https://data.europa.eu/doi/10.2760/6258234</vt:lpwstr>
      </vt:variant>
      <vt:variant>
        <vt:lpwstr/>
      </vt:variant>
      <vt:variant>
        <vt:i4>6225986</vt:i4>
      </vt:variant>
      <vt:variant>
        <vt:i4>180</vt:i4>
      </vt:variant>
      <vt:variant>
        <vt:i4>0</vt:i4>
      </vt:variant>
      <vt:variant>
        <vt:i4>5</vt:i4>
      </vt:variant>
      <vt:variant>
        <vt:lpwstr>https://op.europa.eu/en/publication-detail/-/publication/f740c592-1b56-11f0-b1a3-01aa75ed71a1</vt:lpwstr>
      </vt:variant>
      <vt:variant>
        <vt:lpwstr/>
      </vt:variant>
      <vt:variant>
        <vt:i4>3145770</vt:i4>
      </vt:variant>
      <vt:variant>
        <vt:i4>177</vt:i4>
      </vt:variant>
      <vt:variant>
        <vt:i4>0</vt:i4>
      </vt:variant>
      <vt:variant>
        <vt:i4>5</vt:i4>
      </vt:variant>
      <vt:variant>
        <vt:lpwstr>https://data.europa.eu/doi/10.2777/2941871</vt:lpwstr>
      </vt:variant>
      <vt:variant>
        <vt:lpwstr/>
      </vt:variant>
      <vt:variant>
        <vt:i4>5242889</vt:i4>
      </vt:variant>
      <vt:variant>
        <vt:i4>168</vt:i4>
      </vt:variant>
      <vt:variant>
        <vt:i4>0</vt:i4>
      </vt:variant>
      <vt:variant>
        <vt:i4>5</vt:i4>
      </vt:variant>
      <vt:variant>
        <vt:lpwstr>https://ec.europa.eu/info/funding-tenders/opportunities/docs/2021-2027/common/guidance/list-3rd-country-participation_horizon-euratom_en.pdf</vt:lpwstr>
      </vt:variant>
      <vt:variant>
        <vt:lpwstr/>
      </vt:variant>
      <vt:variant>
        <vt:i4>7340103</vt:i4>
      </vt:variant>
      <vt:variant>
        <vt:i4>165</vt:i4>
      </vt:variant>
      <vt:variant>
        <vt:i4>0</vt:i4>
      </vt:variant>
      <vt:variant>
        <vt:i4>5</vt:i4>
      </vt:variant>
      <vt:variant>
        <vt:lpwstr>https://joint-research-centre.ec.europa.eu/jrc-news-and-updates/air-quality-pm25-atlases-track-pollution-sources-eu-cities-and-beyond-2025-12-01_en</vt:lpwstr>
      </vt:variant>
      <vt:variant>
        <vt:lpwstr/>
      </vt:variant>
      <vt:variant>
        <vt:i4>5898299</vt:i4>
      </vt:variant>
      <vt:variant>
        <vt:i4>162</vt:i4>
      </vt:variant>
      <vt:variant>
        <vt:i4>0</vt:i4>
      </vt:variant>
      <vt:variant>
        <vt:i4>5</vt:i4>
      </vt:variant>
      <vt:variant>
        <vt:lpwstr>https://urban-mobility-observatory.transport.ec.europa.eu/news-events/news/joint-research-centre-launches-transport-poverty-hub-enhance-regional-connectivity-across-europe-2025-07-15_en</vt:lpwstr>
      </vt:variant>
      <vt:variant>
        <vt:lpwstr/>
      </vt:variant>
      <vt:variant>
        <vt:i4>131148</vt:i4>
      </vt:variant>
      <vt:variant>
        <vt:i4>159</vt:i4>
      </vt:variant>
      <vt:variant>
        <vt:i4>0</vt:i4>
      </vt:variant>
      <vt:variant>
        <vt:i4>5</vt:i4>
      </vt:variant>
      <vt:variant>
        <vt:lpwstr>https://publications.jrc.ec.europa.eu/repository/handle/JRC142938</vt:lpwstr>
      </vt:variant>
      <vt:variant>
        <vt:lpwstr/>
      </vt:variant>
      <vt:variant>
        <vt:i4>196674</vt:i4>
      </vt:variant>
      <vt:variant>
        <vt:i4>156</vt:i4>
      </vt:variant>
      <vt:variant>
        <vt:i4>0</vt:i4>
      </vt:variant>
      <vt:variant>
        <vt:i4>5</vt:i4>
      </vt:variant>
      <vt:variant>
        <vt:lpwstr>https://publications.jrc.ec.europa.eu/repository/handle/JRC144743</vt:lpwstr>
      </vt:variant>
      <vt:variant>
        <vt:lpwstr/>
      </vt:variant>
      <vt:variant>
        <vt:i4>524341</vt:i4>
      </vt:variant>
      <vt:variant>
        <vt:i4>153</vt:i4>
      </vt:variant>
      <vt:variant>
        <vt:i4>0</vt:i4>
      </vt:variant>
      <vt:variant>
        <vt:i4>5</vt:i4>
      </vt:variant>
      <vt:variant>
        <vt:lpwstr>https://joint-research-centre.ec.europa.eu/jrc-news-and-updates/jrc-launches-border-security-lab-2025-04-10_en</vt:lpwstr>
      </vt:variant>
      <vt:variant>
        <vt:lpwstr/>
      </vt:variant>
      <vt:variant>
        <vt:i4>524352</vt:i4>
      </vt:variant>
      <vt:variant>
        <vt:i4>150</vt:i4>
      </vt:variant>
      <vt:variant>
        <vt:i4>0</vt:i4>
      </vt:variant>
      <vt:variant>
        <vt:i4>5</vt:i4>
      </vt:variant>
      <vt:variant>
        <vt:lpwstr>https://publications.jrc.ec.europa.eu/repository/handle/JRC142598</vt:lpwstr>
      </vt:variant>
      <vt:variant>
        <vt:lpwstr/>
      </vt:variant>
      <vt:variant>
        <vt:i4>2621447</vt:i4>
      </vt:variant>
      <vt:variant>
        <vt:i4>147</vt:i4>
      </vt:variant>
      <vt:variant>
        <vt:i4>0</vt:i4>
      </vt:variant>
      <vt:variant>
        <vt:i4>5</vt:i4>
      </vt:variant>
      <vt:variant>
        <vt:lpwstr>https://commission.europa.eu/topics/international-partnerships/global-gateway_en</vt:lpwstr>
      </vt:variant>
      <vt:variant>
        <vt:lpwstr/>
      </vt:variant>
      <vt:variant>
        <vt:i4>3997815</vt:i4>
      </vt:variant>
      <vt:variant>
        <vt:i4>144</vt:i4>
      </vt:variant>
      <vt:variant>
        <vt:i4>0</vt:i4>
      </vt:variant>
      <vt:variant>
        <vt:i4>5</vt:i4>
      </vt:variant>
      <vt:variant>
        <vt:lpwstr>https://allatlanticocean.org/news/all-atlantic-blue-intergenerational-programme-and-its-pilot-integrated-platform-launched-to-strengthen-ocean-cooperation-across-generations/</vt:lpwstr>
      </vt:variant>
      <vt:variant>
        <vt:lpwstr>:~:text=Brussels%2C%2025%20September%202025%20%E2%80%93%20The%20All-Atlantic%20Ocean,empower%20ocean%20professionals%20across%20generations%2C%20cultures%2C%20and%20continents.</vt:lpwstr>
      </vt:variant>
      <vt:variant>
        <vt:i4>1441817</vt:i4>
      </vt:variant>
      <vt:variant>
        <vt:i4>141</vt:i4>
      </vt:variant>
      <vt:variant>
        <vt:i4>0</vt:i4>
      </vt:variant>
      <vt:variant>
        <vt:i4>5</vt:i4>
      </vt:variant>
      <vt:variant>
        <vt:lpwstr>https://allatlanticocean.org/news/tackling-coastal-risks-new-all-atlantic-network-of-beacon-sites-launched-to-link-local-resilience-efforts/</vt:lpwstr>
      </vt:variant>
      <vt:variant>
        <vt:lpwstr/>
      </vt:variant>
      <vt:variant>
        <vt:i4>8126589</vt:i4>
      </vt:variant>
      <vt:variant>
        <vt:i4>138</vt:i4>
      </vt:variant>
      <vt:variant>
        <vt:i4>0</vt:i4>
      </vt:variant>
      <vt:variant>
        <vt:i4>5</vt:i4>
      </vt:variant>
      <vt:variant>
        <vt:lpwstr>https://allatlanticocean.org/</vt:lpwstr>
      </vt:variant>
      <vt:variant>
        <vt:lpwstr>:~:text=What%20is%20the%20All-Atlantic%20Ocean%20Research%20and%20Innovation,Atlantic%20to%20enhance%20marine%20research%20and%20innovation%20cooperation.</vt:lpwstr>
      </vt:variant>
      <vt:variant>
        <vt:i4>1441885</vt:i4>
      </vt:variant>
      <vt:variant>
        <vt:i4>135</vt:i4>
      </vt:variant>
      <vt:variant>
        <vt:i4>0</vt:i4>
      </vt:variant>
      <vt:variant>
        <vt:i4>5</vt:i4>
      </vt:variant>
      <vt:variant>
        <vt:lpwstr>http://stip.oecd.org/</vt:lpwstr>
      </vt:variant>
      <vt:variant>
        <vt:lpwstr/>
      </vt:variant>
      <vt:variant>
        <vt:i4>393245</vt:i4>
      </vt:variant>
      <vt:variant>
        <vt:i4>132</vt:i4>
      </vt:variant>
      <vt:variant>
        <vt:i4>0</vt:i4>
      </vt:variant>
      <vt:variant>
        <vt:i4>5</vt:i4>
      </vt:variant>
      <vt:variant>
        <vt:lpwstr>https://op.europa.eu/en/publication-detail/-/publication/c246671a-78b6-11f0-9af8-01aa75ed71a1</vt:lpwstr>
      </vt:variant>
      <vt:variant>
        <vt:lpwstr/>
      </vt:variant>
      <vt:variant>
        <vt:i4>6619248</vt:i4>
      </vt:variant>
      <vt:variant>
        <vt:i4>129</vt:i4>
      </vt:variant>
      <vt:variant>
        <vt:i4>0</vt:i4>
      </vt:variant>
      <vt:variant>
        <vt:i4>5</vt:i4>
      </vt:variant>
      <vt:variant>
        <vt:lpwstr>https://research-and-innovation.ec.europa.eu/knowledge-publications-tools-and-data/documents_en?f%5B0%5D=document_title%3ARecovery%20and%20Resilience%20Facility</vt:lpwstr>
      </vt:variant>
      <vt:variant>
        <vt:lpwstr/>
      </vt:variant>
      <vt:variant>
        <vt:i4>655376</vt:i4>
      </vt:variant>
      <vt:variant>
        <vt:i4>126</vt:i4>
      </vt:variant>
      <vt:variant>
        <vt:i4>0</vt:i4>
      </vt:variant>
      <vt:variant>
        <vt:i4>5</vt:i4>
      </vt:variant>
      <vt:variant>
        <vt:lpwstr>https://eur-lex.europa.eu/legal-content/EN/TXT/?uri=celex:52025JC0140</vt:lpwstr>
      </vt:variant>
      <vt:variant>
        <vt:lpwstr/>
      </vt:variant>
      <vt:variant>
        <vt:i4>327791</vt:i4>
      </vt:variant>
      <vt:variant>
        <vt:i4>123</vt:i4>
      </vt:variant>
      <vt:variant>
        <vt:i4>0</vt:i4>
      </vt:variant>
      <vt:variant>
        <vt:i4>5</vt:i4>
      </vt:variant>
      <vt:variant>
        <vt:lpwstr>https://research-and-innovation.ec.europa.eu/news/all-research-and-innovation-news/european-commission-unveils-european-digital-twin-ocean-prototype-2024-06-13_en</vt:lpwstr>
      </vt:variant>
      <vt:variant>
        <vt:lpwstr/>
      </vt:variant>
      <vt:variant>
        <vt:i4>1835034</vt:i4>
      </vt:variant>
      <vt:variant>
        <vt:i4>120</vt:i4>
      </vt:variant>
      <vt:variant>
        <vt:i4>0</vt:i4>
      </vt:variant>
      <vt:variant>
        <vt:i4>5</vt:i4>
      </vt:variant>
      <vt:variant>
        <vt:lpwstr>https://digital-strategy.ec.europa.eu/en/library/quantum-europe-strategy</vt:lpwstr>
      </vt:variant>
      <vt:variant>
        <vt:lpwstr/>
      </vt:variant>
      <vt:variant>
        <vt:i4>1572949</vt:i4>
      </vt:variant>
      <vt:variant>
        <vt:i4>117</vt:i4>
      </vt:variant>
      <vt:variant>
        <vt:i4>0</vt:i4>
      </vt:variant>
      <vt:variant>
        <vt:i4>5</vt:i4>
      </vt:variant>
      <vt:variant>
        <vt:lpwstr>https://digital-strategy.ec.europa.eu/en/news/eu-expands-network-ai-factories-strengthening-its-ai-continent-ambition</vt:lpwstr>
      </vt:variant>
      <vt:variant>
        <vt:lpwstr/>
      </vt:variant>
      <vt:variant>
        <vt:i4>3014689</vt:i4>
      </vt:variant>
      <vt:variant>
        <vt:i4>114</vt:i4>
      </vt:variant>
      <vt:variant>
        <vt:i4>0</vt:i4>
      </vt:variant>
      <vt:variant>
        <vt:i4>5</vt:i4>
      </vt:variant>
      <vt:variant>
        <vt:lpwstr>https://digital-strategy.ec.europa.eu/en/news/eu-launches-investai-initiative-mobilise-eu200-billion-investment-artificial-intelligence</vt:lpwstr>
      </vt:variant>
      <vt:variant>
        <vt:lpwstr/>
      </vt:variant>
      <vt:variant>
        <vt:i4>2949223</vt:i4>
      </vt:variant>
      <vt:variant>
        <vt:i4>111</vt:i4>
      </vt:variant>
      <vt:variant>
        <vt:i4>0</vt:i4>
      </vt:variant>
      <vt:variant>
        <vt:i4>5</vt:i4>
      </vt:variant>
      <vt:variant>
        <vt:lpwstr>https://digital-strategy.ec.europa.eu/en/policies/apply-ai</vt:lpwstr>
      </vt:variant>
      <vt:variant>
        <vt:lpwstr/>
      </vt:variant>
      <vt:variant>
        <vt:i4>5832723</vt:i4>
      </vt:variant>
      <vt:variant>
        <vt:i4>108</vt:i4>
      </vt:variant>
      <vt:variant>
        <vt:i4>0</vt:i4>
      </vt:variant>
      <vt:variant>
        <vt:i4>5</vt:i4>
      </vt:variant>
      <vt:variant>
        <vt:lpwstr>https://digital-strategy.ec.europa.eu/en/library/ai-continent-action-plan</vt:lpwstr>
      </vt:variant>
      <vt:variant>
        <vt:lpwstr/>
      </vt:variant>
      <vt:variant>
        <vt:i4>2097171</vt:i4>
      </vt:variant>
      <vt:variant>
        <vt:i4>105</vt:i4>
      </vt:variant>
      <vt:variant>
        <vt:i4>0</vt:i4>
      </vt:variant>
      <vt:variant>
        <vt:i4>5</vt:i4>
      </vt:variant>
      <vt:variant>
        <vt:lpwstr>https://research-and-innovation.ec.europa.eu/strategy/strategy-research-and-innovation/our-digital-future/european-ai-science-strategy_en</vt:lpwstr>
      </vt:variant>
      <vt:variant>
        <vt:lpwstr>resource-for-ai-science-in-europe-raise</vt:lpwstr>
      </vt:variant>
      <vt:variant>
        <vt:i4>196614</vt:i4>
      </vt:variant>
      <vt:variant>
        <vt:i4>102</vt:i4>
      </vt:variant>
      <vt:variant>
        <vt:i4>0</vt:i4>
      </vt:variant>
      <vt:variant>
        <vt:i4>5</vt:i4>
      </vt:variant>
      <vt:variant>
        <vt:lpwstr>https://eur-lex.europa.eu/legal-content/EN/TXT/?uri=CELEX%3A52025DC1005&amp;qid=1770212329024</vt:lpwstr>
      </vt:variant>
      <vt:variant>
        <vt:lpwstr/>
      </vt:variant>
      <vt:variant>
        <vt:i4>7143515</vt:i4>
      </vt:variant>
      <vt:variant>
        <vt:i4>99</vt:i4>
      </vt:variant>
      <vt:variant>
        <vt:i4>0</vt:i4>
      </vt:variant>
      <vt:variant>
        <vt:i4>5</vt:i4>
      </vt:variant>
      <vt:variant>
        <vt:lpwstr>https://eur-lex.europa.eu/legal-content/EN/TXT/?uri=PI_COM%3AC%282025%294011&amp;qid=1767969425803</vt:lpwstr>
      </vt:variant>
      <vt:variant>
        <vt:lpwstr/>
      </vt:variant>
      <vt:variant>
        <vt:i4>5570660</vt:i4>
      </vt:variant>
      <vt:variant>
        <vt:i4>96</vt:i4>
      </vt:variant>
      <vt:variant>
        <vt:i4>0</vt:i4>
      </vt:variant>
      <vt:variant>
        <vt:i4>5</vt:i4>
      </vt:variant>
      <vt:variant>
        <vt:lpwstr>https://energy.ec.europa.eu/publications/2025-progress-report-competitiveness-clean-energy-technologies_en</vt:lpwstr>
      </vt:variant>
      <vt:variant>
        <vt:lpwstr/>
      </vt:variant>
      <vt:variant>
        <vt:i4>327689</vt:i4>
      </vt:variant>
      <vt:variant>
        <vt:i4>93</vt:i4>
      </vt:variant>
      <vt:variant>
        <vt:i4>0</vt:i4>
      </vt:variant>
      <vt:variant>
        <vt:i4>5</vt:i4>
      </vt:variant>
      <vt:variant>
        <vt:lpwstr>https://eur-lex.europa.eu/legal-content/EN/TXT/?uri=CELEX%3A52025DC0079&amp;qid=1741780110418</vt:lpwstr>
      </vt:variant>
      <vt:variant>
        <vt:lpwstr/>
      </vt:variant>
      <vt:variant>
        <vt:i4>4849735</vt:i4>
      </vt:variant>
      <vt:variant>
        <vt:i4>90</vt:i4>
      </vt:variant>
      <vt:variant>
        <vt:i4>0</vt:i4>
      </vt:variant>
      <vt:variant>
        <vt:i4>5</vt:i4>
      </vt:variant>
      <vt:variant>
        <vt:lpwstr>https://op.europa.eu/en/publication-detail/-/publication/616cce9c-39e5-11f0-8a44-01aa75ed71a1/language-en</vt:lpwstr>
      </vt:variant>
      <vt:variant>
        <vt:lpwstr/>
      </vt:variant>
      <vt:variant>
        <vt:i4>8126543</vt:i4>
      </vt:variant>
      <vt:variant>
        <vt:i4>87</vt:i4>
      </vt:variant>
      <vt:variant>
        <vt:i4>0</vt:i4>
      </vt:variant>
      <vt:variant>
        <vt:i4>5</vt:i4>
      </vt:variant>
      <vt:variant>
        <vt:lpwstr>https://eur-lex.europa.eu/legal-content/EN/ALL/?uri=comnat:COM_2025_0281_FIN</vt:lpwstr>
      </vt:variant>
      <vt:variant>
        <vt:lpwstr/>
      </vt:variant>
      <vt:variant>
        <vt:i4>786444</vt:i4>
      </vt:variant>
      <vt:variant>
        <vt:i4>84</vt:i4>
      </vt:variant>
      <vt:variant>
        <vt:i4>0</vt:i4>
      </vt:variant>
      <vt:variant>
        <vt:i4>5</vt:i4>
      </vt:variant>
      <vt:variant>
        <vt:lpwstr>https://eur-lex.europa.eu/legal-content/EN/TXT/?uri=CELEX%3A52025DC0280&amp;qid=1750857768458</vt:lpwstr>
      </vt:variant>
      <vt:variant>
        <vt:lpwstr/>
      </vt:variant>
      <vt:variant>
        <vt:i4>7471142</vt:i4>
      </vt:variant>
      <vt:variant>
        <vt:i4>81</vt:i4>
      </vt:variant>
      <vt:variant>
        <vt:i4>0</vt:i4>
      </vt:variant>
      <vt:variant>
        <vt:i4>5</vt:i4>
      </vt:variant>
      <vt:variant>
        <vt:lpwstr>https://eur-lex.europa.eu/eli/dir/2025/2360/oj</vt:lpwstr>
      </vt:variant>
      <vt:variant>
        <vt:lpwstr/>
      </vt:variant>
      <vt:variant>
        <vt:i4>3538957</vt:i4>
      </vt:variant>
      <vt:variant>
        <vt:i4>78</vt:i4>
      </vt:variant>
      <vt:variant>
        <vt:i4>0</vt:i4>
      </vt:variant>
      <vt:variant>
        <vt:i4>5</vt:i4>
      </vt:variant>
      <vt:variant>
        <vt:lpwstr>https://commission.europa.eu/topics/competitiveness/clean-industrial-deal_en</vt:lpwstr>
      </vt:variant>
      <vt:variant>
        <vt:lpwstr/>
      </vt:variant>
      <vt:variant>
        <vt:i4>1769575</vt:i4>
      </vt:variant>
      <vt:variant>
        <vt:i4>75</vt:i4>
      </vt:variant>
      <vt:variant>
        <vt:i4>0</vt:i4>
      </vt:variant>
      <vt:variant>
        <vt:i4>5</vt:i4>
      </vt:variant>
      <vt:variant>
        <vt:lpwstr>https://eic.ec.europa.eu/eic-funding-opportunities/eic-accelerator_en</vt:lpwstr>
      </vt:variant>
      <vt:variant>
        <vt:lpwstr/>
      </vt:variant>
      <vt:variant>
        <vt:i4>1966189</vt:i4>
      </vt:variant>
      <vt:variant>
        <vt:i4>72</vt:i4>
      </vt:variant>
      <vt:variant>
        <vt:i4>0</vt:i4>
      </vt:variant>
      <vt:variant>
        <vt:i4>5</vt:i4>
      </vt:variant>
      <vt:variant>
        <vt:lpwstr>https://strategic-technologies.europa.eu/index_en</vt:lpwstr>
      </vt:variant>
      <vt:variant>
        <vt:lpwstr/>
      </vt:variant>
      <vt:variant>
        <vt:i4>7929956</vt:i4>
      </vt:variant>
      <vt:variant>
        <vt:i4>69</vt:i4>
      </vt:variant>
      <vt:variant>
        <vt:i4>0</vt:i4>
      </vt:variant>
      <vt:variant>
        <vt:i4>5</vt:i4>
      </vt:variant>
      <vt:variant>
        <vt:lpwstr>https://ec.europa.eu/commission/presscorner/detail/en/ip_25_1076</vt:lpwstr>
      </vt:variant>
      <vt:variant>
        <vt:lpwstr/>
      </vt:variant>
      <vt:variant>
        <vt:i4>262169</vt:i4>
      </vt:variant>
      <vt:variant>
        <vt:i4>66</vt:i4>
      </vt:variant>
      <vt:variant>
        <vt:i4>0</vt:i4>
      </vt:variant>
      <vt:variant>
        <vt:i4>5</vt:i4>
      </vt:variant>
      <vt:variant>
        <vt:lpwstr>https://eur-lex.europa.eu/legal-content/EN/TXT/?uri=celex:52025DC0845</vt:lpwstr>
      </vt:variant>
      <vt:variant>
        <vt:lpwstr/>
      </vt:variant>
      <vt:variant>
        <vt:i4>786449</vt:i4>
      </vt:variant>
      <vt:variant>
        <vt:i4>63</vt:i4>
      </vt:variant>
      <vt:variant>
        <vt:i4>0</vt:i4>
      </vt:variant>
      <vt:variant>
        <vt:i4>5</vt:i4>
      </vt:variant>
      <vt:variant>
        <vt:lpwstr>https://eur-lex.europa.eu/legal-content/EN/TXT/?uri=celex:52025JC0027</vt:lpwstr>
      </vt:variant>
      <vt:variant>
        <vt:lpwstr/>
      </vt:variant>
      <vt:variant>
        <vt:i4>4784161</vt:i4>
      </vt:variant>
      <vt:variant>
        <vt:i4>60</vt:i4>
      </vt:variant>
      <vt:variant>
        <vt:i4>0</vt:i4>
      </vt:variant>
      <vt:variant>
        <vt:i4>5</vt:i4>
      </vt:variant>
      <vt:variant>
        <vt:lpwstr>https://commission.europa.eu/document/download/e6d5db69-e0ab-4bec-9dc0-3867b4373019_en?filename=White%20paper%20for%20European%20defence%20%E2%80%93%20Readiness%202030.pdf</vt:lpwstr>
      </vt:variant>
      <vt:variant>
        <vt:lpwstr/>
      </vt:variant>
      <vt:variant>
        <vt:i4>7995427</vt:i4>
      </vt:variant>
      <vt:variant>
        <vt:i4>57</vt:i4>
      </vt:variant>
      <vt:variant>
        <vt:i4>0</vt:i4>
      </vt:variant>
      <vt:variant>
        <vt:i4>5</vt:i4>
      </vt:variant>
      <vt:variant>
        <vt:lpwstr>https://eur-lex.europa.eu/legal-content/EN/TXT/?uri=CELEX%3A52025DC0148</vt:lpwstr>
      </vt:variant>
      <vt:variant>
        <vt:lpwstr/>
      </vt:variant>
      <vt:variant>
        <vt:i4>851984</vt:i4>
      </vt:variant>
      <vt:variant>
        <vt:i4>54</vt:i4>
      </vt:variant>
      <vt:variant>
        <vt:i4>0</vt:i4>
      </vt:variant>
      <vt:variant>
        <vt:i4>5</vt:i4>
      </vt:variant>
      <vt:variant>
        <vt:lpwstr>https://eur-lex.europa.eu/legal-content/EN/TXT/?uri=celex:52025JC0130</vt:lpwstr>
      </vt:variant>
      <vt:variant>
        <vt:lpwstr/>
      </vt:variant>
      <vt:variant>
        <vt:i4>7143470</vt:i4>
      </vt:variant>
      <vt:variant>
        <vt:i4>51</vt:i4>
      </vt:variant>
      <vt:variant>
        <vt:i4>0</vt:i4>
      </vt:variant>
      <vt:variant>
        <vt:i4>5</vt:i4>
      </vt:variant>
      <vt:variant>
        <vt:lpwstr>https://eur-lex.europa.eu/legal-content/EN/TXT/?uri=COM%3A2025%3A1027%3AFIN</vt:lpwstr>
      </vt:variant>
      <vt:variant>
        <vt:lpwstr/>
      </vt:variant>
      <vt:variant>
        <vt:i4>1376346</vt:i4>
      </vt:variant>
      <vt:variant>
        <vt:i4>48</vt:i4>
      </vt:variant>
      <vt:variant>
        <vt:i4>0</vt:i4>
      </vt:variant>
      <vt:variant>
        <vt:i4>5</vt:i4>
      </vt:variant>
      <vt:variant>
        <vt:lpwstr>https://eur-lex.europa.eu/legal-content/EN/TXT/PDF/?uri=CELEX:52025DC1026</vt:lpwstr>
      </vt:variant>
      <vt:variant>
        <vt:lpwstr/>
      </vt:variant>
      <vt:variant>
        <vt:i4>6357061</vt:i4>
      </vt:variant>
      <vt:variant>
        <vt:i4>45</vt:i4>
      </vt:variant>
      <vt:variant>
        <vt:i4>0</vt:i4>
      </vt:variant>
      <vt:variant>
        <vt:i4>5</vt:i4>
      </vt:variant>
      <vt:variant>
        <vt:lpwstr>https://new-european-bauhaus.europa.eu/index_en</vt:lpwstr>
      </vt:variant>
      <vt:variant>
        <vt:lpwstr/>
      </vt:variant>
      <vt:variant>
        <vt:i4>2</vt:i4>
      </vt:variant>
      <vt:variant>
        <vt:i4>42</vt:i4>
      </vt:variant>
      <vt:variant>
        <vt:i4>0</vt:i4>
      </vt:variant>
      <vt:variant>
        <vt:i4>5</vt:i4>
      </vt:variant>
      <vt:variant>
        <vt:lpwstr>https://eur-lex.europa.eu/legal-content/EN/TXT/?uri=CELEX%3A52025DC0525&amp;qid=1762330863739</vt:lpwstr>
      </vt:variant>
      <vt:variant>
        <vt:lpwstr/>
      </vt:variant>
      <vt:variant>
        <vt:i4>6881314</vt:i4>
      </vt:variant>
      <vt:variant>
        <vt:i4>39</vt:i4>
      </vt:variant>
      <vt:variant>
        <vt:i4>0</vt:i4>
      </vt:variant>
      <vt:variant>
        <vt:i4>5</vt:i4>
      </vt:variant>
      <vt:variant>
        <vt:lpwstr>https://eur-lex.europa.eu/legal-content/EN/TXT/?uri=CELEX%3A52025PC1022</vt:lpwstr>
      </vt:variant>
      <vt:variant>
        <vt:lpwstr/>
      </vt:variant>
      <vt:variant>
        <vt:i4>6291457</vt:i4>
      </vt:variant>
      <vt:variant>
        <vt:i4>36</vt:i4>
      </vt:variant>
      <vt:variant>
        <vt:i4>0</vt:i4>
      </vt:variant>
      <vt:variant>
        <vt:i4>5</vt:i4>
      </vt:variant>
      <vt:variant>
        <vt:lpwstr>https://environment.ec.europa.eu/strategy/bioeconomy-strategy_en</vt:lpwstr>
      </vt:variant>
      <vt:variant>
        <vt:lpwstr/>
      </vt:variant>
      <vt:variant>
        <vt:i4>196628</vt:i4>
      </vt:variant>
      <vt:variant>
        <vt:i4>33</vt:i4>
      </vt:variant>
      <vt:variant>
        <vt:i4>0</vt:i4>
      </vt:variant>
      <vt:variant>
        <vt:i4>5</vt:i4>
      </vt:variant>
      <vt:variant>
        <vt:lpwstr>https://eur-lex.europa.eu/legal-content/EN/TXT/?uri=celex:52025DC0530</vt:lpwstr>
      </vt:variant>
      <vt:variant>
        <vt:lpwstr/>
      </vt:variant>
      <vt:variant>
        <vt:i4>1114202</vt:i4>
      </vt:variant>
      <vt:variant>
        <vt:i4>27</vt:i4>
      </vt:variant>
      <vt:variant>
        <vt:i4>0</vt:i4>
      </vt:variant>
      <vt:variant>
        <vt:i4>5</vt:i4>
      </vt:variant>
      <vt:variant>
        <vt:lpwstr>https://eur-lex.europa.eu/legal-content/EN/TXT/PDF/?uri=CELEX:52025DC0075</vt:lpwstr>
      </vt:variant>
      <vt:variant>
        <vt:lpwstr/>
      </vt:variant>
      <vt:variant>
        <vt:i4>589841</vt:i4>
      </vt:variant>
      <vt:variant>
        <vt:i4>24</vt:i4>
      </vt:variant>
      <vt:variant>
        <vt:i4>0</vt:i4>
      </vt:variant>
      <vt:variant>
        <vt:i4>5</vt:i4>
      </vt:variant>
      <vt:variant>
        <vt:lpwstr>https://eur-lex.europa.eu/legal-content/EN/TXT/?uri=celex:52025DC0095</vt:lpwstr>
      </vt:variant>
      <vt:variant>
        <vt:lpwstr/>
      </vt:variant>
      <vt:variant>
        <vt:i4>6619212</vt:i4>
      </vt:variant>
      <vt:variant>
        <vt:i4>21</vt:i4>
      </vt:variant>
      <vt:variant>
        <vt:i4>0</vt:i4>
      </vt:variant>
      <vt:variant>
        <vt:i4>5</vt:i4>
      </vt:variant>
      <vt:variant>
        <vt:lpwstr>https://commission.europa.eu/business-economy-euro/european-semester_en</vt:lpwstr>
      </vt:variant>
      <vt:variant>
        <vt:lpwstr/>
      </vt:variant>
      <vt:variant>
        <vt:i4>5439593</vt:i4>
      </vt:variant>
      <vt:variant>
        <vt:i4>18</vt:i4>
      </vt:variant>
      <vt:variant>
        <vt:i4>0</vt:i4>
      </vt:variant>
      <vt:variant>
        <vt:i4>5</vt:i4>
      </vt:variant>
      <vt:variant>
        <vt:lpwstr>https://research-and-innovation.ec.europa.eu/strategy/strategy-research-and-innovation/our-digital-future/european-strategy-research-and-technology-infrastructures_en</vt:lpwstr>
      </vt:variant>
      <vt:variant>
        <vt:lpwstr/>
      </vt:variant>
      <vt:variant>
        <vt:i4>4194359</vt:i4>
      </vt:variant>
      <vt:variant>
        <vt:i4>15</vt:i4>
      </vt:variant>
      <vt:variant>
        <vt:i4>0</vt:i4>
      </vt:variant>
      <vt:variant>
        <vt:i4>5</vt:i4>
      </vt:variant>
      <vt:variant>
        <vt:lpwstr>https://research-and-innovation.ec.europa.eu/strategy/strategy-research-and-innovation/jobs-and-economy/eu-startup-and-scaleup-strategy_en</vt:lpwstr>
      </vt:variant>
      <vt:variant>
        <vt:lpwstr/>
      </vt:variant>
      <vt:variant>
        <vt:i4>8192019</vt:i4>
      </vt:variant>
      <vt:variant>
        <vt:i4>12</vt:i4>
      </vt:variant>
      <vt:variant>
        <vt:i4>0</vt:i4>
      </vt:variant>
      <vt:variant>
        <vt:i4>5</vt:i4>
      </vt:variant>
      <vt:variant>
        <vt:lpwstr>https://commission.europa.eu/topics/research-and-innovation/choose-europe_en</vt:lpwstr>
      </vt:variant>
      <vt:variant>
        <vt:lpwstr/>
      </vt:variant>
      <vt:variant>
        <vt:i4>5636176</vt:i4>
      </vt:variant>
      <vt:variant>
        <vt:i4>9</vt:i4>
      </vt:variant>
      <vt:variant>
        <vt:i4>0</vt:i4>
      </vt:variant>
      <vt:variant>
        <vt:i4>5</vt:i4>
      </vt:variant>
      <vt:variant>
        <vt:lpwstr>https://eur-lex.europa.eu/eli/reg/2021/765/oj</vt:lpwstr>
      </vt:variant>
      <vt:variant>
        <vt:lpwstr/>
      </vt:variant>
      <vt:variant>
        <vt:i4>1572957</vt:i4>
      </vt:variant>
      <vt:variant>
        <vt:i4>6</vt:i4>
      </vt:variant>
      <vt:variant>
        <vt:i4>0</vt:i4>
      </vt:variant>
      <vt:variant>
        <vt:i4>5</vt:i4>
      </vt:variant>
      <vt:variant>
        <vt:lpwstr>https://eur-lex.europa.eu/legal-content/EN/ALL/?uri=CELEX:32021R0695</vt:lpwstr>
      </vt:variant>
      <vt:variant>
        <vt:lpwstr/>
      </vt:variant>
      <vt:variant>
        <vt:i4>5374064</vt:i4>
      </vt:variant>
      <vt:variant>
        <vt:i4>3</vt:i4>
      </vt:variant>
      <vt:variant>
        <vt:i4>0</vt:i4>
      </vt:variant>
      <vt:variant>
        <vt:i4>5</vt:i4>
      </vt:variant>
      <vt:variant>
        <vt:lpwstr>https://eur-lex.europa.eu/eli/treaty/euratom_2012/oj</vt:lpwstr>
      </vt:variant>
      <vt:variant>
        <vt:lpwstr/>
      </vt:variant>
      <vt:variant>
        <vt:i4>5177429</vt:i4>
      </vt:variant>
      <vt:variant>
        <vt:i4>0</vt:i4>
      </vt:variant>
      <vt:variant>
        <vt:i4>0</vt:i4>
      </vt:variant>
      <vt:variant>
        <vt:i4>5</vt:i4>
      </vt:variant>
      <vt:variant>
        <vt:lpwstr>https://eur-lex.europa.eu/legal-content/EN/TXT/?uri=celex%3A12016ME%2FTXT</vt:lpwstr>
      </vt:variant>
      <vt:variant>
        <vt:lpwstr/>
      </vt:variant>
      <vt:variant>
        <vt:i4>6160433</vt:i4>
      </vt:variant>
      <vt:variant>
        <vt:i4>0</vt:i4>
      </vt:variant>
      <vt:variant>
        <vt:i4>0</vt:i4>
      </vt:variant>
      <vt:variant>
        <vt:i4>5</vt:i4>
      </vt:variant>
      <vt:variant>
        <vt:lpwstr>https://eic.ec.europa.eu/document/download/7b947b36-66cb-4471-a2d0-158d5ae6770f_en?filename=EIC-Impact-Report-2025.pdf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2026-04-21T10:14:00Z</dcterms:created>
  <dcterms:modified xsi:type="dcterms:W3CDTF">2026-05-28T08:00:00Z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2026-04-21T10:14:21Z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e69d4d1d-b6d1-4f93-b67c-2384300c4cd9</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0x0101008CF1E423E1053143A72AC4DF303AC6F5</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