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B4868" w14:textId="1A080058" w:rsidR="00B5186B" w:rsidRPr="00884B00" w:rsidRDefault="00C169F0" w:rsidP="00C169F0">
      <w:pPr>
        <w:pStyle w:val="Pagedecouverture"/>
        <w:rPr>
          <w:noProof/>
        </w:rPr>
      </w:pPr>
      <w:bookmarkStart w:id="0" w:name="LW_BM_COVERPAGE"/>
      <w:r>
        <w:rPr>
          <w:noProof/>
        </w:rPr>
        <w:pict w14:anchorId="418AF6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6928B3-6ADF-446D-8452-F0881852DB4B" style="width:455.25pt;height:300pt">
            <v:imagedata r:id="rId11" o:title=""/>
          </v:shape>
        </w:pict>
      </w:r>
    </w:p>
    <w:bookmarkEnd w:id="0"/>
    <w:p w14:paraId="213ECC8D" w14:textId="77777777" w:rsidR="000C0139" w:rsidRPr="00884B00" w:rsidRDefault="000C0139" w:rsidP="00CE4E4E">
      <w:pPr>
        <w:rPr>
          <w:b/>
          <w:smallCaps/>
          <w:noProof/>
        </w:rPr>
        <w:sectPr w:rsidR="000C0139" w:rsidRPr="00884B00" w:rsidSect="00C169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94569C3" w14:textId="77DFD4CA" w:rsidR="00CE4E4E" w:rsidRPr="00884B00" w:rsidRDefault="00517B47" w:rsidP="00CE4E4E">
      <w:pPr>
        <w:pStyle w:val="Heading1"/>
        <w:spacing w:before="120"/>
        <w:rPr>
          <w:noProof/>
        </w:rPr>
      </w:pPr>
      <w:bookmarkStart w:id="1" w:name="_GoBack"/>
      <w:bookmarkEnd w:id="1"/>
      <w:r w:rsidRPr="00884B00">
        <w:rPr>
          <w:noProof/>
        </w:rPr>
        <w:lastRenderedPageBreak/>
        <w:t>Context</w:t>
      </w:r>
    </w:p>
    <w:p w14:paraId="4042A467" w14:textId="68300F0E" w:rsidR="00C520FE" w:rsidRPr="00884B00" w:rsidRDefault="00C520FE" w:rsidP="00CE4E4E">
      <w:pPr>
        <w:rPr>
          <w:noProof/>
        </w:rPr>
      </w:pPr>
      <w:r w:rsidRPr="00884B00">
        <w:rPr>
          <w:noProof/>
        </w:rPr>
        <w:t>Prezentul raport oferă o imagine de ansamblu a principalelor activități de cercetare și inovare (C&amp;I) ale UE și a monitorizării programului Orizont Europa și a Programului pentru cercetare și formare al Euratom în 2025.</w:t>
      </w:r>
    </w:p>
    <w:p w14:paraId="08050568" w14:textId="5B359012" w:rsidR="00A0153A" w:rsidRPr="00884B00" w:rsidRDefault="00C520FE" w:rsidP="00CE4E4E">
      <w:pPr>
        <w:rPr>
          <w:noProof/>
        </w:rPr>
      </w:pPr>
      <w:r w:rsidRPr="00884B00">
        <w:rPr>
          <w:noProof/>
        </w:rPr>
        <w:t xml:space="preserve">Raportul a fost elaborat în conformitate cu articolul 190 din </w:t>
      </w:r>
      <w:hyperlink r:id="rId18">
        <w:r w:rsidRPr="00884B00">
          <w:rPr>
            <w:rStyle w:val="Hyperlink"/>
            <w:noProof/>
          </w:rPr>
          <w:t>Tratatul privind funcționarea Uniunii Europene</w:t>
        </w:r>
      </w:hyperlink>
      <w:r w:rsidRPr="00884B00">
        <w:rPr>
          <w:noProof/>
        </w:rPr>
        <w:t xml:space="preserve"> (TFUE) și cu articolul 7 din </w:t>
      </w:r>
      <w:hyperlink r:id="rId19">
        <w:r w:rsidRPr="00884B00">
          <w:rPr>
            <w:rStyle w:val="Hyperlink"/>
            <w:noProof/>
          </w:rPr>
          <w:t>Tratatul Euratom</w:t>
        </w:r>
      </w:hyperlink>
      <w:r w:rsidRPr="00884B00">
        <w:rPr>
          <w:noProof/>
        </w:rPr>
        <w:t xml:space="preserve">, coroborate cu articolul 50 din </w:t>
      </w:r>
      <w:hyperlink r:id="rId20">
        <w:r w:rsidRPr="00884B00">
          <w:rPr>
            <w:rStyle w:val="Hyperlink"/>
            <w:noProof/>
          </w:rPr>
          <w:t>Regulamentul (UE) 2021/695 al Parlamentului European și al Consiliului de instituire a programului-cadru pentru cercetare și inovare Orizont Europa</w:t>
        </w:r>
      </w:hyperlink>
      <w:r w:rsidRPr="00884B00">
        <w:rPr>
          <w:noProof/>
        </w:rPr>
        <w:t xml:space="preserve"> și cu articolul 12 din </w:t>
      </w:r>
      <w:hyperlink r:id="rId21">
        <w:r w:rsidRPr="00884B00">
          <w:rPr>
            <w:rStyle w:val="Hyperlink"/>
            <w:noProof/>
          </w:rPr>
          <w:t>Regulamentul (Euratom) 2021/765 al Consiliului de instituire a Programului pentru cercetare și formare al Comunității Europene a Energiei Atomice</w:t>
        </w:r>
      </w:hyperlink>
      <w:r w:rsidRPr="00884B00">
        <w:rPr>
          <w:noProof/>
        </w:rPr>
        <w:t>.</w:t>
      </w:r>
    </w:p>
    <w:p w14:paraId="1C1700E8" w14:textId="77777777" w:rsidR="00CE4E4E" w:rsidRPr="00884B00" w:rsidRDefault="00CE4E4E" w:rsidP="00CE4E4E">
      <w:pPr>
        <w:rPr>
          <w:noProof/>
          <w:lang w:eastAsia="en-GB"/>
        </w:rPr>
      </w:pPr>
    </w:p>
    <w:p w14:paraId="02EF642A" w14:textId="2A8CEC73" w:rsidR="00CE4E4E" w:rsidRPr="00884B00" w:rsidRDefault="00517B47" w:rsidP="00CE4E4E">
      <w:pPr>
        <w:pStyle w:val="Heading1"/>
        <w:spacing w:before="120"/>
        <w:rPr>
          <w:noProof/>
        </w:rPr>
      </w:pPr>
      <w:r w:rsidRPr="00884B00">
        <w:rPr>
          <w:noProof/>
        </w:rPr>
        <w:t>Contextul politic și evoluția politicilor</w:t>
      </w:r>
    </w:p>
    <w:p w14:paraId="66DAE702" w14:textId="7A3D1A58" w:rsidR="00CE4E4E" w:rsidRPr="00884B00" w:rsidRDefault="0087173B" w:rsidP="00CE4E4E">
      <w:pPr>
        <w:rPr>
          <w:iCs/>
          <w:noProof/>
        </w:rPr>
      </w:pPr>
      <w:r w:rsidRPr="00884B00">
        <w:rPr>
          <w:noProof/>
        </w:rPr>
        <w:t>În 2025, cercetarea și inovarea au constituit parte integrantă din promovarea principalelor inițiative ale UE, subliniind rolul lor vital în consolidarea competitivității. Următoarea secțiune analizează impactul transformator al acestor evoluții în toate sectoarele, afirmând angajamentul UE de a promova o economie axată pe inovare.</w:t>
      </w:r>
    </w:p>
    <w:p w14:paraId="59983228" w14:textId="3888A8F1" w:rsidR="009A30F3" w:rsidRPr="00884B00" w:rsidRDefault="00BC3547" w:rsidP="00CE4E4E">
      <w:pPr>
        <w:pStyle w:val="Heading2"/>
        <w:rPr>
          <w:noProof/>
        </w:rPr>
      </w:pPr>
      <w:r w:rsidRPr="00884B00">
        <w:rPr>
          <w:noProof/>
        </w:rPr>
        <w:t>Prosperitatea durabilă, piața unică și competitivitatea Europei</w:t>
      </w:r>
    </w:p>
    <w:p w14:paraId="00F8EDB0" w14:textId="623AFF8B" w:rsidR="00717177" w:rsidRPr="00884B00" w:rsidRDefault="00C169F0" w:rsidP="5974E4A5">
      <w:pPr>
        <w:rPr>
          <w:rFonts w:asciiTheme="minorHAnsi" w:eastAsiaTheme="minorEastAsia" w:hAnsiTheme="minorHAnsi" w:cstheme="minorBidi"/>
          <w:noProof/>
          <w:sz w:val="22"/>
          <w:szCs w:val="22"/>
          <w14:ligatures w14:val="standardContextual"/>
        </w:rPr>
      </w:pPr>
      <w:hyperlink r:id="rId22">
        <w:r w:rsidR="428CB400" w:rsidRPr="00884B00">
          <w:rPr>
            <w:rStyle w:val="Hyperlink"/>
            <w:noProof/>
          </w:rPr>
          <w:t>Inițiativa „Alegeți Europa”</w:t>
        </w:r>
      </w:hyperlink>
      <w:r w:rsidR="428CB400" w:rsidRPr="00884B00">
        <w:rPr>
          <w:noProof/>
          <w:color w:val="000000" w:themeColor="text1"/>
        </w:rPr>
        <w:t xml:space="preserve"> a fost lansată în luna mai și urmărește să transforme Europa în </w:t>
      </w:r>
      <w:r w:rsidR="428CB400" w:rsidRPr="00884B00">
        <w:rPr>
          <w:b/>
          <w:noProof/>
          <w:color w:val="000000" w:themeColor="text1"/>
        </w:rPr>
        <w:t>cea mai atractivă destinație pentru cercetători</w:t>
      </w:r>
      <w:r w:rsidR="428CB400" w:rsidRPr="00884B00">
        <w:rPr>
          <w:noProof/>
          <w:color w:val="000000" w:themeColor="text1"/>
        </w:rPr>
        <w:t xml:space="preserve">. Între timp, </w:t>
      </w:r>
      <w:hyperlink r:id="rId23">
        <w:r w:rsidR="428CB400" w:rsidRPr="00884B00">
          <w:rPr>
            <w:rStyle w:val="Hyperlink"/>
            <w:noProof/>
          </w:rPr>
          <w:t>Strategia UE privind start-upurile și întreprinderile în fază de extindere</w:t>
        </w:r>
      </w:hyperlink>
      <w:r w:rsidR="428CB400" w:rsidRPr="00884B00">
        <w:rPr>
          <w:noProof/>
          <w:color w:val="000000" w:themeColor="text1"/>
        </w:rPr>
        <w:t xml:space="preserve"> își propune să facă din UE principalul centru pentru start-upurile și întreprinderile în fază de extindere bazate pe tehnologie. Comisia a adoptat, de asemenea, </w:t>
      </w:r>
      <w:hyperlink r:id="rId24">
        <w:r w:rsidR="428CB400" w:rsidRPr="00884B00">
          <w:rPr>
            <w:rStyle w:val="Hyperlink"/>
            <w:noProof/>
          </w:rPr>
          <w:t>Strategia europeană privind infrastructurile de cercetare și tehnologie</w:t>
        </w:r>
      </w:hyperlink>
      <w:r w:rsidR="428CB400" w:rsidRPr="00884B00">
        <w:rPr>
          <w:noProof/>
          <w:color w:val="000000" w:themeColor="text1"/>
        </w:rPr>
        <w:t xml:space="preserve"> pentru a promova o infrastructură de talie mondială, accesibilă și aliniată la industrie.</w:t>
      </w:r>
      <w:r w:rsidR="428CB400" w:rsidRPr="00884B00">
        <w:rPr>
          <w:rFonts w:asciiTheme="minorHAnsi" w:hAnsiTheme="minorHAnsi"/>
          <w:noProof/>
          <w:sz w:val="22"/>
        </w:rPr>
        <w:t xml:space="preserve"> </w:t>
      </w:r>
    </w:p>
    <w:p w14:paraId="140A12E5" w14:textId="66601AAB" w:rsidR="00C653E9" w:rsidRPr="00884B00" w:rsidRDefault="00C169F0" w:rsidP="00CE4E4E">
      <w:pPr>
        <w:rPr>
          <w:noProof/>
          <w:color w:val="000000" w:themeColor="text1"/>
        </w:rPr>
      </w:pPr>
      <w:hyperlink r:id="rId25" w:history="1">
        <w:r w:rsidR="00C653E9" w:rsidRPr="00884B00">
          <w:rPr>
            <w:rStyle w:val="Hyperlink"/>
            <w:b/>
            <w:noProof/>
          </w:rPr>
          <w:t>Semestrul european 2025</w:t>
        </w:r>
      </w:hyperlink>
      <w:r w:rsidR="00C653E9" w:rsidRPr="00884B00">
        <w:rPr>
          <w:noProof/>
          <w:color w:val="000000" w:themeColor="text1"/>
        </w:rPr>
        <w:t xml:space="preserve"> s-a axat pe prioritățile Busolei pentru competitivitate, inclusiv pe eliminarea decalajului în materie de inovare. Reflectând această prioritate, 26 de state membre au primit o recomandare specifică fiecărei țări privind C&amp;I.</w:t>
      </w:r>
    </w:p>
    <w:p w14:paraId="5347C89F" w14:textId="4C0E5AC3" w:rsidR="0072438A" w:rsidRPr="00884B00" w:rsidRDefault="00893CBA" w:rsidP="00472EC1">
      <w:pPr>
        <w:rPr>
          <w:noProof/>
        </w:rPr>
      </w:pPr>
      <w:r w:rsidRPr="00884B00">
        <w:rPr>
          <w:noProof/>
          <w:color w:val="000000" w:themeColor="text1"/>
        </w:rPr>
        <w:t xml:space="preserve">La nivel sectorial, Comisia a colaborat cu asociațiile partenere corespunzătoare din domeniul transportului rutier și al bateriilor prin intermediul unui memorandum de înțelegere și al rezultatelor sale preconizate, pentru a pune în aplicare activitățile de C&amp;I din noul </w:t>
      </w:r>
      <w:hyperlink r:id="rId26">
        <w:r w:rsidRPr="00884B00">
          <w:rPr>
            <w:rStyle w:val="Hyperlink"/>
            <w:noProof/>
          </w:rPr>
          <w:t xml:space="preserve">plan de acțiune industrială pentru </w:t>
        </w:r>
        <w:r w:rsidRPr="00884B00">
          <w:rPr>
            <w:rStyle w:val="Hyperlink"/>
            <w:b/>
            <w:noProof/>
          </w:rPr>
          <w:t>sectorul european al autovehiculelor</w:t>
        </w:r>
      </w:hyperlink>
      <w:r w:rsidRPr="00884B00">
        <w:rPr>
          <w:noProof/>
        </w:rPr>
        <w:t xml:space="preserve">. C&amp;I au contribuit, de asemenea, la noua propunere de act legislativ al UE privind spațiul, cu scopul de a stimula inovarea și un mediu de afaceri stabil. În paralel, Comisia a publicat o comunicare care prezintă o viziune pentru economia spațială europeană. </w:t>
      </w:r>
      <w:r w:rsidRPr="00884B00">
        <w:rPr>
          <w:noProof/>
          <w:color w:val="000000" w:themeColor="text1"/>
        </w:rPr>
        <w:t xml:space="preserve">Comisia a adoptat </w:t>
      </w:r>
      <w:hyperlink r:id="rId27">
        <w:r w:rsidRPr="00884B00">
          <w:rPr>
            <w:rStyle w:val="Hyperlink"/>
            <w:noProof/>
          </w:rPr>
          <w:t xml:space="preserve">Viziunea pentru </w:t>
        </w:r>
        <w:r w:rsidRPr="00884B00">
          <w:rPr>
            <w:rStyle w:val="Hyperlink"/>
            <w:b/>
            <w:noProof/>
          </w:rPr>
          <w:t>agricultură</w:t>
        </w:r>
        <w:r w:rsidRPr="00884B00">
          <w:rPr>
            <w:rStyle w:val="Hyperlink"/>
            <w:noProof/>
          </w:rPr>
          <w:t xml:space="preserve"> și sectorul alimentar</w:t>
        </w:r>
      </w:hyperlink>
      <w:r w:rsidRPr="00884B00">
        <w:rPr>
          <w:noProof/>
        </w:rPr>
        <w:t xml:space="preserve"> – evidențiind C&amp;I drept catalizatori pentru un sistem agroalimentar atractiv, competitiv și echitabil</w:t>
      </w:r>
      <w:r w:rsidRPr="00884B00">
        <w:rPr>
          <w:noProof/>
          <w:color w:val="000000" w:themeColor="text1"/>
        </w:rPr>
        <w:t xml:space="preserve">. </w:t>
      </w:r>
      <w:hyperlink r:id="rId28" w:history="1">
        <w:r w:rsidRPr="00884B00">
          <w:rPr>
            <w:rStyle w:val="Hyperlink"/>
            <w:noProof/>
          </w:rPr>
          <w:t xml:space="preserve">Planul de acțiune pentru </w:t>
        </w:r>
        <w:r w:rsidRPr="00884B00">
          <w:rPr>
            <w:rStyle w:val="Hyperlink"/>
            <w:b/>
            <w:noProof/>
          </w:rPr>
          <w:t>industria chimică</w:t>
        </w:r>
      </w:hyperlink>
      <w:r w:rsidRPr="00884B00">
        <w:rPr>
          <w:noProof/>
          <w:color w:val="D13438"/>
        </w:rPr>
        <w:t xml:space="preserve"> </w:t>
      </w:r>
      <w:r w:rsidRPr="00884B00">
        <w:rPr>
          <w:noProof/>
          <w:color w:val="000000" w:themeColor="text1"/>
        </w:rPr>
        <w:t>consolidează competitivitatea, durabilitatea și reziliența industriei prin stimularea inovării.</w:t>
      </w:r>
      <w:r w:rsidRPr="00884B00">
        <w:rPr>
          <w:noProof/>
        </w:rPr>
        <w:t xml:space="preserve"> Comisia a adoptat o nouă </w:t>
      </w:r>
      <w:hyperlink r:id="rId29" w:history="1">
        <w:r w:rsidRPr="00884B00">
          <w:rPr>
            <w:rStyle w:val="Hyperlink"/>
            <w:noProof/>
          </w:rPr>
          <w:t xml:space="preserve">strategie a UE în domeniul </w:t>
        </w:r>
        <w:r w:rsidRPr="00884B00">
          <w:rPr>
            <w:rStyle w:val="Hyperlink"/>
            <w:b/>
            <w:noProof/>
          </w:rPr>
          <w:t>bioeconomiei</w:t>
        </w:r>
      </w:hyperlink>
      <w:r w:rsidRPr="00884B00">
        <w:rPr>
          <w:noProof/>
        </w:rPr>
        <w:t xml:space="preserve"> și un </w:t>
      </w:r>
      <w:hyperlink r:id="rId30" w:history="1">
        <w:r w:rsidRPr="00884B00">
          <w:rPr>
            <w:rStyle w:val="Hyperlink"/>
            <w:noProof/>
          </w:rPr>
          <w:t xml:space="preserve">act legislativ european privind </w:t>
        </w:r>
        <w:r w:rsidRPr="00884B00">
          <w:rPr>
            <w:rStyle w:val="Hyperlink"/>
            <w:b/>
            <w:noProof/>
          </w:rPr>
          <w:t>biotehnologia</w:t>
        </w:r>
      </w:hyperlink>
      <w:r w:rsidRPr="00884B00">
        <w:rPr>
          <w:noProof/>
        </w:rPr>
        <w:t xml:space="preserve">, cu aspecte legate de tehnologiile verzi și de competitivitatea în domeniul alimentar și al sănătății. </w:t>
      </w:r>
    </w:p>
    <w:p w14:paraId="47EB320C" w14:textId="175263D7" w:rsidR="00F579FF" w:rsidRPr="00884B00" w:rsidRDefault="007B78CB" w:rsidP="00472EC1">
      <w:pPr>
        <w:rPr>
          <w:noProof/>
        </w:rPr>
      </w:pPr>
      <w:r w:rsidRPr="00884B00">
        <w:rPr>
          <w:noProof/>
        </w:rPr>
        <w:t xml:space="preserve">În plus, Comisia a adoptat </w:t>
      </w:r>
      <w:hyperlink r:id="rId31" w:history="1">
        <w:r w:rsidRPr="00884B00">
          <w:rPr>
            <w:rStyle w:val="Hyperlink"/>
            <w:noProof/>
          </w:rPr>
          <w:t xml:space="preserve">strategia în domeniul </w:t>
        </w:r>
        <w:r w:rsidRPr="00884B00">
          <w:rPr>
            <w:rStyle w:val="Hyperlink"/>
            <w:b/>
            <w:noProof/>
          </w:rPr>
          <w:t>științelor vieții</w:t>
        </w:r>
      </w:hyperlink>
      <w:r w:rsidRPr="00884B00">
        <w:rPr>
          <w:noProof/>
        </w:rPr>
        <w:t>, poziționând UE ca centru mondial pentru inovare în domeniul sănătății, al biotehnologiei, al sistemelor alimentare și al producției verzi până în 2030.</w:t>
      </w:r>
    </w:p>
    <w:p w14:paraId="48BC4510" w14:textId="06674A60" w:rsidR="00E36FEB" w:rsidRPr="00884B00" w:rsidRDefault="00E36FEB" w:rsidP="00472EC1">
      <w:pPr>
        <w:rPr>
          <w:bCs/>
          <w:iCs/>
          <w:noProof/>
        </w:rPr>
      </w:pPr>
      <w:r w:rsidRPr="00884B00">
        <w:rPr>
          <w:noProof/>
        </w:rPr>
        <w:t>C&amp;I au contribuit, de asemenea, la sprijinirea de către </w:t>
      </w:r>
      <w:hyperlink r:id="rId32" w:tgtFrame="_blank" w:history="1">
        <w:r w:rsidRPr="00884B00">
          <w:rPr>
            <w:rStyle w:val="Hyperlink"/>
            <w:noProof/>
          </w:rPr>
          <w:t>Noul Ba</w:t>
        </w:r>
        <w:bookmarkStart w:id="2" w:name="_Hlt225511933"/>
        <w:bookmarkStart w:id="3" w:name="_Hlt225511934"/>
        <w:r w:rsidRPr="00884B00">
          <w:rPr>
            <w:rStyle w:val="Hyperlink"/>
            <w:b/>
            <w:noProof/>
          </w:rPr>
          <w:t>u</w:t>
        </w:r>
        <w:bookmarkEnd w:id="2"/>
        <w:bookmarkEnd w:id="3"/>
        <w:r w:rsidRPr="00884B00">
          <w:rPr>
            <w:rStyle w:val="Hyperlink"/>
            <w:b/>
            <w:noProof/>
          </w:rPr>
          <w:t>haus european</w:t>
        </w:r>
      </w:hyperlink>
      <w:r w:rsidRPr="00884B00">
        <w:rPr>
          <w:noProof/>
        </w:rPr>
        <w:t xml:space="preserve"> (NBE) a proiectelor de transformare a mediului construit din cartiere.  </w:t>
      </w:r>
      <w:hyperlink r:id="rId33" w:history="1">
        <w:r w:rsidRPr="00884B00">
          <w:rPr>
            <w:rStyle w:val="Hyperlink"/>
            <w:noProof/>
          </w:rPr>
          <w:t>Comunicarea privind Noul Bauhaus european</w:t>
        </w:r>
      </w:hyperlink>
      <w:r w:rsidRPr="00884B00">
        <w:rPr>
          <w:noProof/>
        </w:rPr>
        <w:t xml:space="preserve"> și </w:t>
      </w:r>
      <w:hyperlink r:id="rId34" w:history="1">
        <w:r w:rsidRPr="00884B00">
          <w:rPr>
            <w:rStyle w:val="Hyperlink"/>
            <w:noProof/>
          </w:rPr>
          <w:t>propunerea de recomandare a Consiliului privind NBE</w:t>
        </w:r>
      </w:hyperlink>
      <w:r w:rsidRPr="00884B00">
        <w:rPr>
          <w:noProof/>
        </w:rPr>
        <w:t xml:space="preserve"> recunosc contribuția proiectelor NBE la C&amp;I. </w:t>
      </w:r>
    </w:p>
    <w:p w14:paraId="61F76B52" w14:textId="77777777" w:rsidR="00502CD2" w:rsidRPr="00884B00" w:rsidRDefault="00502CD2" w:rsidP="00CE4E4E">
      <w:pPr>
        <w:pStyle w:val="Heading2"/>
        <w:rPr>
          <w:noProof/>
        </w:rPr>
      </w:pPr>
      <w:r w:rsidRPr="00884B00">
        <w:rPr>
          <w:noProof/>
        </w:rPr>
        <w:t>Autonomie strategică, apărare și securitate</w:t>
      </w:r>
    </w:p>
    <w:p w14:paraId="1D50806D" w14:textId="340F72DB" w:rsidR="00434190" w:rsidRPr="00884B00" w:rsidRDefault="00682F4C" w:rsidP="00CE4E4E">
      <w:pPr>
        <w:rPr>
          <w:noProof/>
        </w:rPr>
      </w:pPr>
      <w:r w:rsidRPr="00884B00">
        <w:rPr>
          <w:noProof/>
        </w:rPr>
        <w:t>Asemenea competitivității, securitatea și reziliența sunt imperative în materie de politică strâns legate de inovare. Următoarele strategii de politică, prezentate de Comisie în 2025, identifică cercetarea, inovarea și tehnologia cu dublă utilizare ca fiind aspecte-cheie:</w:t>
      </w:r>
    </w:p>
    <w:p w14:paraId="46C80730" w14:textId="4FB611BA" w:rsidR="0085330D" w:rsidRPr="00884B00" w:rsidRDefault="00C169F0" w:rsidP="00CE4E4E">
      <w:pPr>
        <w:numPr>
          <w:ilvl w:val="0"/>
          <w:numId w:val="60"/>
        </w:numPr>
        <w:rPr>
          <w:noProof/>
        </w:rPr>
      </w:pPr>
      <w:hyperlink r:id="rId35" w:history="1">
        <w:r w:rsidR="00FB7662" w:rsidRPr="00884B00">
          <w:rPr>
            <w:rStyle w:val="Hyperlink"/>
            <w:noProof/>
          </w:rPr>
          <w:t>Strategia europeană privind o Uniune a pregătirii</w:t>
        </w:r>
      </w:hyperlink>
    </w:p>
    <w:p w14:paraId="6AFA052A" w14:textId="6EE9FCA7" w:rsidR="0085330D" w:rsidRPr="00884B00" w:rsidRDefault="00C169F0" w:rsidP="00CE4E4E">
      <w:pPr>
        <w:numPr>
          <w:ilvl w:val="0"/>
          <w:numId w:val="60"/>
        </w:numPr>
        <w:rPr>
          <w:noProof/>
        </w:rPr>
      </w:pPr>
      <w:hyperlink r:id="rId36" w:history="1">
        <w:r w:rsidR="007443B2" w:rsidRPr="00884B00">
          <w:rPr>
            <w:rStyle w:val="Hyperlink"/>
            <w:noProof/>
          </w:rPr>
          <w:t>Prote</w:t>
        </w:r>
        <w:bookmarkStart w:id="4" w:name="_Hlt220955411"/>
        <w:bookmarkStart w:id="5" w:name="_Hlt220955412"/>
        <w:r w:rsidR="007443B2" w:rsidRPr="00884B00">
          <w:rPr>
            <w:rStyle w:val="Hyperlink"/>
            <w:noProof/>
          </w:rPr>
          <w:t>c</w:t>
        </w:r>
        <w:bookmarkEnd w:id="4"/>
        <w:bookmarkEnd w:id="5"/>
        <w:r w:rsidR="007443B2" w:rsidRPr="00884B00">
          <w:rPr>
            <w:rStyle w:val="Hyperlink"/>
            <w:noProof/>
          </w:rPr>
          <w:t>tEU – o strategie europeană de securitate internă</w:t>
        </w:r>
      </w:hyperlink>
      <w:r w:rsidR="007443B2" w:rsidRPr="00884B00">
        <w:rPr>
          <w:noProof/>
        </w:rPr>
        <w:t xml:space="preserve"> </w:t>
      </w:r>
    </w:p>
    <w:p w14:paraId="25389407" w14:textId="2FB3FB3A" w:rsidR="0085330D" w:rsidRPr="00884B00" w:rsidRDefault="00C169F0" w:rsidP="00CE4E4E">
      <w:pPr>
        <w:numPr>
          <w:ilvl w:val="0"/>
          <w:numId w:val="60"/>
        </w:numPr>
        <w:rPr>
          <w:noProof/>
        </w:rPr>
      </w:pPr>
      <w:hyperlink r:id="rId37" w:history="1">
        <w:r w:rsidR="00FB7662" w:rsidRPr="00884B00">
          <w:rPr>
            <w:rStyle w:val="Hyperlink"/>
            <w:noProof/>
          </w:rPr>
          <w:t>Cartea albă privind pregătirea pentru apărare a UE 2030</w:t>
        </w:r>
      </w:hyperlink>
      <w:r w:rsidR="00FB7662" w:rsidRPr="00884B00">
        <w:rPr>
          <w:noProof/>
        </w:rPr>
        <w:t xml:space="preserve">, urmată de </w:t>
      </w:r>
      <w:hyperlink r:id="rId38" w:history="1">
        <w:r w:rsidR="00FB7662" w:rsidRPr="00884B00">
          <w:rPr>
            <w:rStyle w:val="Hyperlink"/>
            <w:noProof/>
          </w:rPr>
          <w:t>Foaia de parcurs privind pregătirea pentru apărare 2030</w:t>
        </w:r>
      </w:hyperlink>
    </w:p>
    <w:p w14:paraId="1F7FE80C" w14:textId="3EBF8015" w:rsidR="007465D3" w:rsidRPr="00884B00" w:rsidRDefault="00C169F0" w:rsidP="00CE4E4E">
      <w:pPr>
        <w:numPr>
          <w:ilvl w:val="0"/>
          <w:numId w:val="60"/>
        </w:numPr>
        <w:rPr>
          <w:noProof/>
        </w:rPr>
      </w:pPr>
      <w:hyperlink r:id="rId39" w:history="1">
        <w:r w:rsidR="00B2084D" w:rsidRPr="00884B00">
          <w:rPr>
            <w:rStyle w:val="Hyperlink"/>
            <w:noProof/>
          </w:rPr>
          <w:t>Foaia de parcurs pentru transformarea industriei apărării a UE</w:t>
        </w:r>
      </w:hyperlink>
      <w:r w:rsidR="00B2084D" w:rsidRPr="00884B00">
        <w:rPr>
          <w:noProof/>
        </w:rPr>
        <w:t xml:space="preserve"> </w:t>
      </w:r>
    </w:p>
    <w:p w14:paraId="76F63DF9" w14:textId="0E819B1E" w:rsidR="00F7057B" w:rsidRPr="00884B00" w:rsidRDefault="00FB7662" w:rsidP="007465D3">
      <w:pPr>
        <w:rPr>
          <w:noProof/>
        </w:rPr>
      </w:pPr>
      <w:r w:rsidRPr="00884B00">
        <w:rPr>
          <w:noProof/>
        </w:rPr>
        <w:t>Acestea evidențiază importanța valorificării ecosistemului civil mai larg de cercetare și inovare în domeniul tehnologiei profunde din Europa pentru pregătirea pentru apărare.</w:t>
      </w:r>
    </w:p>
    <w:p w14:paraId="0FDA648E" w14:textId="297DF724" w:rsidR="4BE69B0E" w:rsidRPr="00884B00" w:rsidRDefault="00D02439" w:rsidP="00CE4E4E">
      <w:pPr>
        <w:rPr>
          <w:noProof/>
        </w:rPr>
      </w:pPr>
      <w:r w:rsidRPr="00884B00">
        <w:rPr>
          <w:noProof/>
        </w:rPr>
        <w:t xml:space="preserve">Prin </w:t>
      </w:r>
      <w:hyperlink r:id="rId40">
        <w:r w:rsidRPr="00884B00">
          <w:rPr>
            <w:rStyle w:val="Hyperlink"/>
            <w:noProof/>
          </w:rPr>
          <w:t>mini-omnibus în domeniul apărării</w:t>
        </w:r>
      </w:hyperlink>
      <w:r w:rsidRPr="00884B00">
        <w:rPr>
          <w:noProof/>
        </w:rPr>
        <w:t xml:space="preserve">, colegiuitorii au convenit provizoriu să extindă domeniul de aplicare al platformei </w:t>
      </w:r>
      <w:hyperlink r:id="rId41">
        <w:r w:rsidRPr="00884B00">
          <w:rPr>
            <w:rStyle w:val="Hyperlink"/>
            <w:noProof/>
          </w:rPr>
          <w:t>Tehnologii strategice pentru Europa</w:t>
        </w:r>
      </w:hyperlink>
      <w:r w:rsidRPr="00884B00">
        <w:rPr>
          <w:noProof/>
        </w:rPr>
        <w:t xml:space="preserve"> (STEP) pentru a include tehnologiile de apărare și pentru a permite </w:t>
      </w:r>
      <w:hyperlink r:id="rId42">
        <w:r w:rsidRPr="00884B00">
          <w:rPr>
            <w:rStyle w:val="Hyperlink"/>
            <w:noProof/>
          </w:rPr>
          <w:t>instrumentului Accelerator al CEI</w:t>
        </w:r>
      </w:hyperlink>
      <w:r w:rsidRPr="00884B00">
        <w:rPr>
          <w:noProof/>
        </w:rPr>
        <w:t xml:space="preserve"> să sprijine inovarea cu dublă utilizare și inovarea în domeniul apărării. Evaluarea la jumătatea perioadei a politicii de coeziune din 2025 a consolidat sprijinul pentru investițiile STEP și a creat noi oportunități de integrare a priorităților emergente în materie de C&amp;I în programele de coeziune. </w:t>
      </w:r>
    </w:p>
    <w:p w14:paraId="7DCDA409" w14:textId="08EBCA62" w:rsidR="0094228C" w:rsidRPr="00884B00" w:rsidRDefault="00502CD2" w:rsidP="00CE4E4E">
      <w:pPr>
        <w:pStyle w:val="Heading2"/>
        <w:rPr>
          <w:noProof/>
        </w:rPr>
      </w:pPr>
      <w:r w:rsidRPr="00884B00">
        <w:rPr>
          <w:noProof/>
        </w:rPr>
        <w:t>Tranziția verde</w:t>
      </w:r>
    </w:p>
    <w:p w14:paraId="3252853A" w14:textId="4EB8F5AF" w:rsidR="00FA77B7" w:rsidRPr="00884B00" w:rsidRDefault="00FA77B7" w:rsidP="00CE4E4E">
      <w:pPr>
        <w:spacing w:line="259" w:lineRule="auto"/>
        <w:rPr>
          <w:noProof/>
        </w:rPr>
      </w:pPr>
      <w:r w:rsidRPr="00884B00">
        <w:rPr>
          <w:noProof/>
        </w:rPr>
        <w:t xml:space="preserve">Comisia a promovat tranziția verde a UE prin inițiative industriale, de mediu și de cercetare coordonate pentru a transforma </w:t>
      </w:r>
      <w:r w:rsidRPr="00884B00">
        <w:rPr>
          <w:b/>
          <w:noProof/>
        </w:rPr>
        <w:t>decarbonizarea</w:t>
      </w:r>
      <w:r w:rsidRPr="00884B00">
        <w:rPr>
          <w:noProof/>
        </w:rPr>
        <w:t xml:space="preserve"> într-un motor al competitivității. În februarie, Comisia a lansat </w:t>
      </w:r>
      <w:hyperlink r:id="rId43">
        <w:r w:rsidRPr="00884B00">
          <w:rPr>
            <w:rStyle w:val="Hyperlink"/>
            <w:noProof/>
          </w:rPr>
          <w:t>Pactul pentru o industrie curată</w:t>
        </w:r>
      </w:hyperlink>
      <w:r w:rsidRPr="00884B00">
        <w:rPr>
          <w:noProof/>
        </w:rPr>
        <w:t>, care stabilește acțiuni pentru industriile mari consumatoare de energie, tehnologiile curate și circularitate. În paralel, Fondul de cercetare pentru cărbune și oțel a fost reformat pentru a simplifica și a accelera investițiile în C&amp;I care sprijină decarbonizarea sectoarelor cărbunelui și oțelului.</w:t>
      </w:r>
    </w:p>
    <w:p w14:paraId="444B3010" w14:textId="7ECE4600" w:rsidR="00016CBE" w:rsidRPr="00884B00" w:rsidRDefault="00183BB9" w:rsidP="00CE4E4E">
      <w:pPr>
        <w:rPr>
          <w:noProof/>
        </w:rPr>
      </w:pPr>
      <w:r w:rsidRPr="00884B00">
        <w:rPr>
          <w:b/>
          <w:noProof/>
        </w:rPr>
        <w:t>Biodiversitatea, apa, oceanele și poluarea</w:t>
      </w:r>
      <w:r w:rsidRPr="00884B00">
        <w:rPr>
          <w:noProof/>
        </w:rPr>
        <w:t xml:space="preserve"> au făcut obiectul unor abordări integrate, bazate pe inovare. Un exemplu în materie de biodiversitate a fost noua </w:t>
      </w:r>
      <w:hyperlink r:id="rId44" w:history="1">
        <w:r w:rsidRPr="00884B00">
          <w:rPr>
            <w:rStyle w:val="Hyperlink"/>
            <w:noProof/>
          </w:rPr>
          <w:t>Directivă privind monitorizarea solului</w:t>
        </w:r>
      </w:hyperlink>
      <w:r w:rsidRPr="00884B00">
        <w:rPr>
          <w:noProof/>
        </w:rPr>
        <w:t xml:space="preserve">, care sprijină obiectivul de a avea soluri sănătoase până în 2050. </w:t>
      </w:r>
      <w:hyperlink r:id="rId45" w:history="1">
        <w:r w:rsidRPr="00884B00">
          <w:rPr>
            <w:rStyle w:val="Hyperlink"/>
            <w:noProof/>
          </w:rPr>
          <w:t>Strategia europeană pentru reziliența în domeniul apei</w:t>
        </w:r>
      </w:hyperlink>
      <w:r w:rsidRPr="00884B00">
        <w:rPr>
          <w:noProof/>
        </w:rPr>
        <w:t xml:space="preserve"> promovează securitatea apei prin refacerea ciclului apei, printr-o economie inteligentă în domeniul apei și prin asigurarea apei curate și la prețuri accesibile pentru toți. </w:t>
      </w:r>
      <w:hyperlink r:id="rId46" w:history="1">
        <w:r w:rsidRPr="00884B00">
          <w:rPr>
            <w:rStyle w:val="Hyperlink"/>
            <w:noProof/>
          </w:rPr>
          <w:t>Pactul european privind oceanul planetar</w:t>
        </w:r>
      </w:hyperlink>
      <w:r w:rsidRPr="00884B00">
        <w:rPr>
          <w:noProof/>
        </w:rPr>
        <w:t xml:space="preserve"> acordă prioritate cercetării, competențelor și inovării privind oceanul planetar. </w:t>
      </w:r>
    </w:p>
    <w:p w14:paraId="4DB47A6E" w14:textId="77777777" w:rsidR="005E2AE4" w:rsidRPr="00884B00" w:rsidRDefault="00016CBE" w:rsidP="00CE4E4E">
      <w:pPr>
        <w:rPr>
          <w:noProof/>
        </w:rPr>
      </w:pPr>
      <w:r w:rsidRPr="00884B00">
        <w:rPr>
          <w:noProof/>
        </w:rPr>
        <w:t xml:space="preserve">Politicile privind </w:t>
      </w:r>
      <w:r w:rsidRPr="00884B00">
        <w:rPr>
          <w:b/>
          <w:noProof/>
        </w:rPr>
        <w:t>clima și energia</w:t>
      </w:r>
      <w:r w:rsidRPr="00884B00">
        <w:rPr>
          <w:noProof/>
        </w:rPr>
        <w:t xml:space="preserve"> s-au bazat în continuare în mare măsură pe știință și inovare. Noile inițiative din 2025 au inclus publicarea unei </w:t>
      </w:r>
      <w:hyperlink r:id="rId47" w:history="1">
        <w:r w:rsidRPr="00884B00">
          <w:rPr>
            <w:rStyle w:val="Hyperlink"/>
            <w:noProof/>
          </w:rPr>
          <w:t>agende strategice de C&amp;I privind sănătatea și schimbările climatice</w:t>
        </w:r>
      </w:hyperlink>
      <w:r w:rsidRPr="00884B00">
        <w:rPr>
          <w:noProof/>
        </w:rPr>
        <w:t>.</w:t>
      </w:r>
      <w:r w:rsidRPr="00884B00">
        <w:rPr>
          <w:rFonts w:ascii="Aptos" w:hAnsi="Aptos"/>
          <w:noProof/>
          <w:sz w:val="22"/>
        </w:rPr>
        <w:t xml:space="preserve"> </w:t>
      </w:r>
      <w:r w:rsidRPr="00884B00">
        <w:rPr>
          <w:noProof/>
        </w:rPr>
        <w:t xml:space="preserve">În domeniul energiei, </w:t>
      </w:r>
      <w:hyperlink r:id="rId48" w:history="1">
        <w:r w:rsidRPr="00884B00">
          <w:rPr>
            <w:rStyle w:val="Hyperlink"/>
            <w:noProof/>
          </w:rPr>
          <w:t>Planul de acțiune pentru energie la prețuri accesibile</w:t>
        </w:r>
      </w:hyperlink>
      <w:r w:rsidRPr="00884B00">
        <w:rPr>
          <w:noProof/>
        </w:rPr>
        <w:t xml:space="preserve">, </w:t>
      </w:r>
      <w:hyperlink r:id="rId49" w:history="1">
        <w:r w:rsidRPr="00884B00">
          <w:rPr>
            <w:rStyle w:val="Hyperlink"/>
            <w:noProof/>
          </w:rPr>
          <w:t>Raportul pentru 2025 privind progresele în materie de competitivitate a tehnologiilor energetice curate</w:t>
        </w:r>
      </w:hyperlink>
      <w:r w:rsidRPr="00884B00">
        <w:rPr>
          <w:noProof/>
        </w:rPr>
        <w:t xml:space="preserve">, </w:t>
      </w:r>
      <w:hyperlink r:id="rId50" w:history="1">
        <w:r w:rsidRPr="00884B00">
          <w:rPr>
            <w:rStyle w:val="Hyperlink"/>
            <w:noProof/>
          </w:rPr>
          <w:t>Comunicarea privind tehnologiile inovatoare în domeniul energiei din surse regenerabile</w:t>
        </w:r>
      </w:hyperlink>
      <w:r w:rsidRPr="00884B00">
        <w:rPr>
          <w:noProof/>
        </w:rPr>
        <w:t xml:space="preserve"> și </w:t>
      </w:r>
      <w:hyperlink r:id="rId51" w:history="1">
        <w:r w:rsidRPr="00884B00">
          <w:rPr>
            <w:rStyle w:val="Hyperlink"/>
            <w:noProof/>
          </w:rPr>
          <w:t>pachetul privind rețeaua europeană</w:t>
        </w:r>
      </w:hyperlink>
      <w:r w:rsidRPr="00884B00">
        <w:rPr>
          <w:noProof/>
        </w:rPr>
        <w:t xml:space="preserve"> au consolidat rolul inovării în accelerarea implementării energiei curate într-un mod eficient din punctul de vedere al costurilor.</w:t>
      </w:r>
    </w:p>
    <w:p w14:paraId="25A5655E" w14:textId="73220B71" w:rsidR="0094228C" w:rsidRPr="00884B00" w:rsidRDefault="0094228C" w:rsidP="00CE4E4E">
      <w:pPr>
        <w:pStyle w:val="Heading2"/>
        <w:rPr>
          <w:noProof/>
        </w:rPr>
      </w:pPr>
      <w:r w:rsidRPr="00884B00">
        <w:rPr>
          <w:noProof/>
        </w:rPr>
        <w:t>IA și tranziția digitală</w:t>
      </w:r>
    </w:p>
    <w:p w14:paraId="5D88C644" w14:textId="1F57AD15" w:rsidR="009F292C" w:rsidRPr="00884B00" w:rsidRDefault="009F292C" w:rsidP="00CE4E4E">
      <w:pPr>
        <w:rPr>
          <w:noProof/>
        </w:rPr>
      </w:pPr>
      <w:r w:rsidRPr="00884B00">
        <w:rPr>
          <w:noProof/>
        </w:rPr>
        <w:t xml:space="preserve">În octombrie, Comisia a adoptat </w:t>
      </w:r>
      <w:hyperlink r:id="rId52" w:anchor="resource-for-ai-science-in-europe-raise" w:history="1">
        <w:r w:rsidRPr="00884B00">
          <w:rPr>
            <w:rStyle w:val="Hyperlink"/>
            <w:b/>
            <w:noProof/>
          </w:rPr>
          <w:t>strategia pentru IA în știință</w:t>
        </w:r>
      </w:hyperlink>
      <w:r w:rsidRPr="00884B00">
        <w:rPr>
          <w:noProof/>
        </w:rPr>
        <w:t xml:space="preserve">. Un proiect emblematic este crearea institutului virtual „Resurse pentru știința IA în Europa” (RAISE), care va reuni și va alinia talentele și excelența științifică europeană, resursele de calcul, datele științifice și finanțarea cercetării. </w:t>
      </w:r>
    </w:p>
    <w:p w14:paraId="16C0D54B" w14:textId="23CAA9FB" w:rsidR="009362B3" w:rsidRPr="00884B00" w:rsidRDefault="003813D3" w:rsidP="00CE4E4E">
      <w:pPr>
        <w:rPr>
          <w:noProof/>
          <w:color w:val="000000" w:themeColor="text1"/>
        </w:rPr>
      </w:pPr>
      <w:r w:rsidRPr="00884B00">
        <w:rPr>
          <w:noProof/>
          <w:color w:val="000000" w:themeColor="text1"/>
        </w:rPr>
        <w:t xml:space="preserve">Următoarele evoluții în domeniul tehnologiei digitale au ghidat, de asemenea, activitatea de C&amp;I. </w:t>
      </w:r>
    </w:p>
    <w:p w14:paraId="12426A65" w14:textId="5F728C87" w:rsidR="009B29A4" w:rsidRPr="00884B00" w:rsidRDefault="00DA04EB" w:rsidP="00CE4E4E">
      <w:pPr>
        <w:numPr>
          <w:ilvl w:val="0"/>
          <w:numId w:val="67"/>
        </w:numPr>
        <w:rPr>
          <w:rFonts w:ascii="Times New Roman_MSFontService" w:eastAsia="Times New Roman_MSFontService" w:hAnsi="Times New Roman_MSFontService" w:cs="Times New Roman_MSFontService"/>
          <w:noProof/>
          <w:color w:val="000000" w:themeColor="text1"/>
        </w:rPr>
      </w:pPr>
      <w:r w:rsidRPr="00884B00">
        <w:rPr>
          <w:noProof/>
          <w:color w:val="000000" w:themeColor="text1"/>
        </w:rPr>
        <w:t xml:space="preserve">În ceea ce privește </w:t>
      </w:r>
      <w:r w:rsidRPr="00884B00">
        <w:rPr>
          <w:b/>
          <w:noProof/>
          <w:color w:val="000000" w:themeColor="text1"/>
        </w:rPr>
        <w:t>IA</w:t>
      </w:r>
      <w:r w:rsidRPr="00884B00">
        <w:rPr>
          <w:noProof/>
          <w:color w:val="000000" w:themeColor="text1"/>
        </w:rPr>
        <w:t>, trecând de la</w:t>
      </w:r>
      <w:r w:rsidRPr="00884B00">
        <w:rPr>
          <w:rFonts w:ascii="Times New Roman_MSFontService" w:hAnsi="Times New Roman_MSFontService"/>
          <w:noProof/>
          <w:color w:val="000000" w:themeColor="text1"/>
        </w:rPr>
        <w:t xml:space="preserve"> reglementare la punere în aplicare, Comisia a adoptat </w:t>
      </w:r>
      <w:hyperlink r:id="rId53" w:history="1">
        <w:r w:rsidRPr="00884B00">
          <w:rPr>
            <w:rStyle w:val="Hyperlink"/>
            <w:rFonts w:ascii="Times New Roman_MSFontService" w:hAnsi="Times New Roman_MSFontService"/>
            <w:noProof/>
          </w:rPr>
          <w:t>Planul de acțiune privind continentul IA</w:t>
        </w:r>
      </w:hyperlink>
      <w:r w:rsidRPr="00884B00">
        <w:rPr>
          <w:rFonts w:ascii="Times New Roman_MSFontService" w:hAnsi="Times New Roman_MSFontService"/>
          <w:noProof/>
          <w:color w:val="000000" w:themeColor="text1"/>
        </w:rPr>
        <w:t xml:space="preserve"> și </w:t>
      </w:r>
      <w:hyperlink r:id="rId54" w:history="1">
        <w:r w:rsidRPr="00884B00">
          <w:rPr>
            <w:rStyle w:val="Hyperlink"/>
            <w:rFonts w:ascii="Times New Roman_MSFontService" w:hAnsi="Times New Roman_MSFontService"/>
            <w:noProof/>
          </w:rPr>
          <w:t>Strategia privind aplicarea IA</w:t>
        </w:r>
      </w:hyperlink>
      <w:r w:rsidRPr="00884B00">
        <w:rPr>
          <w:rFonts w:ascii="Times New Roman_MSFontService" w:hAnsi="Times New Roman_MSFontService"/>
          <w:noProof/>
          <w:color w:val="000000" w:themeColor="text1"/>
        </w:rPr>
        <w:t xml:space="preserve">. În urma anunțului privind </w:t>
      </w:r>
      <w:hyperlink r:id="rId55" w:history="1">
        <w:r w:rsidRPr="00884B00">
          <w:rPr>
            <w:rStyle w:val="Hyperlink"/>
            <w:rFonts w:ascii="Times New Roman_MSFontService" w:hAnsi="Times New Roman_MSFontService"/>
            <w:noProof/>
          </w:rPr>
          <w:t>InvestAI</w:t>
        </w:r>
      </w:hyperlink>
      <w:r w:rsidRPr="00884B00">
        <w:rPr>
          <w:rFonts w:ascii="Times New Roman_MSFontService" w:hAnsi="Times New Roman_MSFontService"/>
          <w:noProof/>
          <w:color w:val="000000" w:themeColor="text1"/>
        </w:rPr>
        <w:t xml:space="preserve">, UE </w:t>
      </w:r>
      <w:hyperlink r:id="rId56" w:history="1">
        <w:r w:rsidRPr="00884B00">
          <w:rPr>
            <w:rStyle w:val="Hyperlink"/>
            <w:rFonts w:ascii="Times New Roman_MSFontService" w:hAnsi="Times New Roman_MSFontService"/>
            <w:noProof/>
          </w:rPr>
          <w:t>a extins rețeaua de fabrici de IA</w:t>
        </w:r>
      </w:hyperlink>
      <w:r w:rsidRPr="00884B00">
        <w:rPr>
          <w:rFonts w:ascii="Times New Roman_MSFontService" w:hAnsi="Times New Roman_MSFontService"/>
          <w:noProof/>
          <w:color w:val="000000" w:themeColor="text1"/>
        </w:rPr>
        <w:t xml:space="preserve">, consolidându-și obiectivul privind „continentul IA” și deschizând calea pentru viitoarele gigafabrici de IA. </w:t>
      </w:r>
    </w:p>
    <w:p w14:paraId="117D07ED" w14:textId="55967E5A" w:rsidR="009B29A4" w:rsidRPr="00884B00" w:rsidRDefault="59EA4893" w:rsidP="00CE4E4E">
      <w:pPr>
        <w:numPr>
          <w:ilvl w:val="0"/>
          <w:numId w:val="67"/>
        </w:numPr>
        <w:rPr>
          <w:rFonts w:ascii="Times New Roman_MSFontService" w:eastAsia="Times New Roman_MSFontService" w:hAnsi="Times New Roman_MSFontService" w:cs="Times New Roman_MSFontService"/>
          <w:noProof/>
          <w:color w:val="000000" w:themeColor="text1"/>
        </w:rPr>
      </w:pPr>
      <w:r w:rsidRPr="00884B00">
        <w:rPr>
          <w:noProof/>
          <w:color w:val="000000" w:themeColor="text1"/>
        </w:rPr>
        <w:t xml:space="preserve">În ceea ce privește </w:t>
      </w:r>
      <w:r w:rsidRPr="00884B00">
        <w:rPr>
          <w:b/>
          <w:noProof/>
          <w:color w:val="000000" w:themeColor="text1"/>
        </w:rPr>
        <w:t>tehnologia cuantică</w:t>
      </w:r>
      <w:r w:rsidRPr="00884B00">
        <w:rPr>
          <w:noProof/>
          <w:color w:val="000000" w:themeColor="text1"/>
        </w:rPr>
        <w:t xml:space="preserve">, Comisia a pus în aplicare </w:t>
      </w:r>
      <w:hyperlink r:id="rId57" w:history="1">
        <w:r w:rsidRPr="00884B00">
          <w:rPr>
            <w:rStyle w:val="Hyperlink"/>
            <w:noProof/>
          </w:rPr>
          <w:t>Strategia pentru Europa cuantică</w:t>
        </w:r>
      </w:hyperlink>
      <w:r w:rsidRPr="00884B00">
        <w:rPr>
          <w:noProof/>
          <w:color w:val="000000" w:themeColor="text1"/>
        </w:rPr>
        <w:t>, având scopul de a poziționa Europa ca lider mondial în domeniu până în 2030.</w:t>
      </w:r>
      <w:r w:rsidRPr="00884B00">
        <w:rPr>
          <w:noProof/>
        </w:rPr>
        <w:t xml:space="preserve"> </w:t>
      </w:r>
    </w:p>
    <w:p w14:paraId="7B5E70F8" w14:textId="0C1FD764" w:rsidR="59EA4893" w:rsidRPr="00884B00" w:rsidRDefault="002874FE" w:rsidP="00CE4E4E">
      <w:pPr>
        <w:numPr>
          <w:ilvl w:val="0"/>
          <w:numId w:val="67"/>
        </w:numPr>
        <w:rPr>
          <w:rFonts w:ascii="Times New Roman_MSFontService" w:eastAsia="Times New Roman_MSFontService" w:hAnsi="Times New Roman_MSFontService" w:cs="Times New Roman_MSFontService"/>
          <w:noProof/>
          <w:color w:val="000000" w:themeColor="text1"/>
        </w:rPr>
      </w:pPr>
      <w:r w:rsidRPr="00884B00">
        <w:rPr>
          <w:b/>
          <w:noProof/>
        </w:rPr>
        <w:t>Cloudul destinat patrimoniului cultural</w:t>
      </w:r>
      <w:r w:rsidRPr="00884B00">
        <w:rPr>
          <w:noProof/>
        </w:rPr>
        <w:t xml:space="preserve"> a fost extins și implică în prezent 187 de organizații partenere care acoperă toate statele membre și țările asociate la programul Orizont Europa.</w:t>
      </w:r>
    </w:p>
    <w:p w14:paraId="10BCAC8A" w14:textId="4A60752C" w:rsidR="00DE2D01" w:rsidRPr="00884B00" w:rsidRDefault="00DE2D01" w:rsidP="00DE2D01">
      <w:pPr>
        <w:numPr>
          <w:ilvl w:val="0"/>
          <w:numId w:val="67"/>
        </w:numPr>
        <w:rPr>
          <w:rFonts w:ascii="Times New Roman_MSFontService" w:eastAsia="Times New Roman_MSFontService" w:hAnsi="Times New Roman_MSFontService" w:cs="Times New Roman_MSFontService"/>
          <w:noProof/>
          <w:color w:val="000000" w:themeColor="text1"/>
        </w:rPr>
      </w:pPr>
      <w:r w:rsidRPr="00884B00">
        <w:rPr>
          <w:noProof/>
        </w:rPr>
        <w:t xml:space="preserve">Prototipul </w:t>
      </w:r>
      <w:hyperlink r:id="rId58" w:history="1">
        <w:r w:rsidRPr="00884B00">
          <w:rPr>
            <w:rStyle w:val="Hyperlink"/>
            <w:noProof/>
          </w:rPr>
          <w:t>platformei europene Digital Twin Ocean</w:t>
        </w:r>
      </w:hyperlink>
      <w:r w:rsidRPr="00884B00">
        <w:rPr>
          <w:noProof/>
        </w:rPr>
        <w:t xml:space="preserve"> a fost prezentat de președinta von der Leyen în cadrul Conferinței Organizației Națiunilor Unite privind oceanele din iunie.</w:t>
      </w:r>
    </w:p>
    <w:p w14:paraId="3EEDB1FA" w14:textId="717BE688" w:rsidR="00B02240" w:rsidRPr="00884B00" w:rsidRDefault="00B02240" w:rsidP="00DE2D01">
      <w:pPr>
        <w:numPr>
          <w:ilvl w:val="0"/>
          <w:numId w:val="67"/>
        </w:numPr>
        <w:rPr>
          <w:rFonts w:ascii="Times New Roman_MSFontService" w:eastAsia="Times New Roman_MSFontService" w:hAnsi="Times New Roman_MSFontService" w:cs="Times New Roman_MSFontService"/>
          <w:noProof/>
          <w:color w:val="000000" w:themeColor="text1"/>
        </w:rPr>
      </w:pPr>
      <w:r w:rsidRPr="00884B00">
        <w:rPr>
          <w:noProof/>
        </w:rPr>
        <w:t xml:space="preserve">A fost adoptată </w:t>
      </w:r>
      <w:hyperlink r:id="rId59" w:history="1">
        <w:r w:rsidRPr="00884B00">
          <w:rPr>
            <w:rStyle w:val="Hyperlink"/>
            <w:noProof/>
          </w:rPr>
          <w:t>strategia digitală internațională</w:t>
        </w:r>
      </w:hyperlink>
      <w:r w:rsidRPr="00884B00">
        <w:rPr>
          <w:noProof/>
        </w:rPr>
        <w:t>, cu scopul de a stimula competitivitatea tehnologică și capacitatea de inovare a UE, în colaborare cu partenerii și aliații.</w:t>
      </w:r>
    </w:p>
    <w:p w14:paraId="1A16BF07" w14:textId="5AA1B369" w:rsidR="00517B47" w:rsidRPr="00884B00" w:rsidRDefault="00113055" w:rsidP="00CE4E4E">
      <w:pPr>
        <w:pStyle w:val="Heading2"/>
        <w:rPr>
          <w:noProof/>
        </w:rPr>
      </w:pPr>
      <w:r w:rsidRPr="00884B00">
        <w:rPr>
          <w:noProof/>
        </w:rPr>
        <w:t>Parteneriatul cu statele membre</w:t>
      </w:r>
    </w:p>
    <w:p w14:paraId="47771F5D" w14:textId="17BD25A0" w:rsidR="30547438" w:rsidRPr="00884B00" w:rsidRDefault="30547438" w:rsidP="00CE4E4E">
      <w:pPr>
        <w:rPr>
          <w:noProof/>
          <w:color w:val="000000" w:themeColor="text1"/>
        </w:rPr>
      </w:pPr>
      <w:r w:rsidRPr="00884B00">
        <w:rPr>
          <w:noProof/>
          <w:color w:val="000000" w:themeColor="text1"/>
        </w:rPr>
        <w:t xml:space="preserve">În ceea ce privește măsurile de C&amp;I din cadrul </w:t>
      </w:r>
      <w:r w:rsidRPr="00884B00">
        <w:rPr>
          <w:b/>
          <w:noProof/>
          <w:color w:val="000000" w:themeColor="text1"/>
        </w:rPr>
        <w:t>Mecanismului de redresare și reziliență</w:t>
      </w:r>
      <w:r w:rsidRPr="00884B00">
        <w:rPr>
          <w:noProof/>
          <w:color w:val="000000" w:themeColor="text1"/>
        </w:rPr>
        <w:t xml:space="preserve"> (MRR), au fost atinse 351 de jaloane și ținte legate de C&amp;I. Modelul MRR se dovedește eficace în stimularea investițiilor în C&amp;I și a reformelor transformatoare în întreaga UE, potrivit unui </w:t>
      </w:r>
      <w:hyperlink r:id="rId60" w:history="1">
        <w:r w:rsidRPr="00884B00">
          <w:rPr>
            <w:rStyle w:val="Hyperlink"/>
            <w:noProof/>
          </w:rPr>
          <w:t>studiu specific privind C&amp;I în cadrul MRR</w:t>
        </w:r>
      </w:hyperlink>
      <w:r w:rsidRPr="00884B00">
        <w:rPr>
          <w:noProof/>
          <w:color w:val="000000" w:themeColor="text1"/>
        </w:rPr>
        <w:t xml:space="preserve">. În ceea ce privește sinergiile cu politica de coeziune, în Malta și Lituania sunt puse în aplicare transferuri bugetare din Fondul european de dezvoltare regională către programul Orizont Europa.  </w:t>
      </w:r>
    </w:p>
    <w:p w14:paraId="220D06A6" w14:textId="659835AD" w:rsidR="30547438" w:rsidRPr="00884B00" w:rsidRDefault="0053284D" w:rsidP="00CE4E4E">
      <w:pPr>
        <w:rPr>
          <w:noProof/>
          <w:color w:val="000000" w:themeColor="text1"/>
        </w:rPr>
      </w:pPr>
      <w:r w:rsidRPr="00884B00">
        <w:rPr>
          <w:noProof/>
          <w:color w:val="000000" w:themeColor="text1"/>
        </w:rPr>
        <w:t xml:space="preserve">Discuțiile bilaterale dintre Comisie și statele membre au fost aprofundate pe tot parcursul anului prin </w:t>
      </w:r>
      <w:r w:rsidRPr="00884B00">
        <w:rPr>
          <w:b/>
          <w:noProof/>
          <w:color w:val="000000" w:themeColor="text1"/>
        </w:rPr>
        <w:t>dialoguri consolidate</w:t>
      </w:r>
      <w:r w:rsidRPr="00884B00">
        <w:rPr>
          <w:noProof/>
          <w:color w:val="000000" w:themeColor="text1"/>
        </w:rPr>
        <w:t xml:space="preserve"> cu Danemarca, Bulgaria, Portugalia, Finlanda și Spania. În plus, </w:t>
      </w:r>
      <w:r w:rsidRPr="00884B00">
        <w:rPr>
          <w:b/>
          <w:noProof/>
          <w:color w:val="000000" w:themeColor="text1"/>
        </w:rPr>
        <w:t>mecanismul de sprijin al politicilor</w:t>
      </w:r>
      <w:r w:rsidRPr="00884B00">
        <w:rPr>
          <w:noProof/>
          <w:color w:val="000000" w:themeColor="text1"/>
        </w:rPr>
        <w:t xml:space="preserve"> a continuat să ajute statele membre și țările asociate să își reformeze sistemele de C&amp;I. Activitățile specifice fiecărei țări pentru Bulgaria, Cehia, Finlanda și Ucraina au fost încheiate. Au avut loc exerciții de învățare reciprocă pe teme precum carierele în cercetare, politicile naționale pentru IA în știință, reducerea decalajului dintre știință și politică și implicarea publicului în C&amp;I, fiind implicat un număr mare de țări. În plus, a fost publicat raportul trienal </w:t>
      </w:r>
      <w:hyperlink r:id="rId61" w:history="1">
        <w:r w:rsidRPr="00884B00">
          <w:rPr>
            <w:rStyle w:val="Hyperlink"/>
            <w:noProof/>
          </w:rPr>
          <w:t>„She Figures”</w:t>
        </w:r>
      </w:hyperlink>
      <w:r w:rsidRPr="00884B00">
        <w:rPr>
          <w:noProof/>
          <w:color w:val="000000" w:themeColor="text1"/>
        </w:rPr>
        <w:t xml:space="preserve"> pentru a sprijini statele membre și părțile interesate în îmbunătățirea egalității de gen în cadrul Spațiului european de cercetare.</w:t>
      </w:r>
    </w:p>
    <w:p w14:paraId="025EA450" w14:textId="0FF1CD77" w:rsidR="454F4072" w:rsidRPr="00884B00" w:rsidRDefault="00860465" w:rsidP="00CE4E4E">
      <w:pPr>
        <w:rPr>
          <w:i/>
          <w:iCs/>
          <w:noProof/>
        </w:rPr>
      </w:pPr>
      <w:r w:rsidRPr="00884B00">
        <w:rPr>
          <w:noProof/>
          <w:color w:val="000000" w:themeColor="text1"/>
        </w:rPr>
        <w:t xml:space="preserve">A fost lansată noua </w:t>
      </w:r>
      <w:hyperlink r:id="rId62" w:history="1">
        <w:r w:rsidRPr="00884B00">
          <w:rPr>
            <w:rStyle w:val="Hyperlink"/>
            <w:noProof/>
          </w:rPr>
          <w:t>Busolă pentru politica în domeniul științei, tehnologiei și inovării</w:t>
        </w:r>
      </w:hyperlink>
      <w:r w:rsidRPr="00884B00">
        <w:rPr>
          <w:noProof/>
          <w:color w:val="000000" w:themeColor="text1"/>
        </w:rPr>
        <w:t xml:space="preserve"> a Comisiei Europene și a </w:t>
      </w:r>
      <w:r w:rsidRPr="00884B00">
        <w:rPr>
          <w:b/>
          <w:noProof/>
          <w:color w:val="000000" w:themeColor="text1"/>
        </w:rPr>
        <w:t>OCDE</w:t>
      </w:r>
      <w:r w:rsidRPr="00884B00">
        <w:rPr>
          <w:noProof/>
          <w:color w:val="000000" w:themeColor="text1"/>
        </w:rPr>
        <w:t xml:space="preserve">, care cumulează datele privind inițiativele și tendințele în materie de politică în domeniul C&amp;I într-o platformă unică. </w:t>
      </w:r>
    </w:p>
    <w:p w14:paraId="75AB35F9" w14:textId="599CA67D" w:rsidR="00517B47" w:rsidRPr="00884B00" w:rsidRDefault="00502CD2" w:rsidP="00CE4E4E">
      <w:pPr>
        <w:pStyle w:val="Heading2"/>
        <w:rPr>
          <w:noProof/>
        </w:rPr>
      </w:pPr>
      <w:r w:rsidRPr="00884B00">
        <w:rPr>
          <w:noProof/>
        </w:rPr>
        <w:t xml:space="preserve">O Europă globală </w:t>
      </w:r>
    </w:p>
    <w:p w14:paraId="5C006F8D" w14:textId="5EBA9FC0" w:rsidR="008A10A4" w:rsidRPr="00884B00" w:rsidRDefault="008A10A4" w:rsidP="00CE4E4E">
      <w:pPr>
        <w:pStyle w:val="NormalWeb"/>
        <w:spacing w:before="120" w:beforeAutospacing="0" w:after="120" w:afterAutospacing="0"/>
        <w:jc w:val="both"/>
        <w:rPr>
          <w:noProof/>
        </w:rPr>
      </w:pPr>
      <w:r w:rsidRPr="00884B00">
        <w:rPr>
          <w:noProof/>
        </w:rPr>
        <w:t xml:space="preserve">UE a continuat să sprijine redresarea </w:t>
      </w:r>
      <w:r w:rsidRPr="00884B00">
        <w:rPr>
          <w:b/>
          <w:noProof/>
        </w:rPr>
        <w:t>Ucrainei</w:t>
      </w:r>
      <w:r w:rsidRPr="00884B00">
        <w:rPr>
          <w:noProof/>
        </w:rPr>
        <w:t xml:space="preserve"> prin lansarea Coaliției internaționale pentru știință, cercetare și inovare în Ucraina, împreună cu Ucraina, Italia și UNESCO.</w:t>
      </w:r>
    </w:p>
    <w:p w14:paraId="465A1500" w14:textId="4E593035" w:rsidR="008A10A4" w:rsidRPr="00884B00" w:rsidRDefault="0041144F" w:rsidP="00CE4E4E">
      <w:pPr>
        <w:pStyle w:val="NormalWeb"/>
        <w:spacing w:before="120" w:beforeAutospacing="0" w:after="120" w:afterAutospacing="0"/>
        <w:jc w:val="both"/>
        <w:rPr>
          <w:noProof/>
        </w:rPr>
      </w:pPr>
      <w:r w:rsidRPr="00884B00">
        <w:rPr>
          <w:noProof/>
        </w:rPr>
        <w:t xml:space="preserve">De asemenea, au fost consolidate parteneriatele cu Africa și </w:t>
      </w:r>
      <w:r w:rsidRPr="00884B00">
        <w:rPr>
          <w:b/>
          <w:noProof/>
        </w:rPr>
        <w:t>Mediterana</w:t>
      </w:r>
      <w:r w:rsidRPr="00884B00">
        <w:rPr>
          <w:noProof/>
        </w:rPr>
        <w:t>, în special prin negocieri pentru un acord UE-</w:t>
      </w:r>
      <w:r w:rsidRPr="00884B00">
        <w:rPr>
          <w:b/>
          <w:noProof/>
        </w:rPr>
        <w:t>Nigeria</w:t>
      </w:r>
      <w:r w:rsidRPr="00884B00">
        <w:rPr>
          <w:noProof/>
        </w:rPr>
        <w:t xml:space="preserve"> în domeniul științei și tehnologiei și prin reînnoirea acordurilor PRIMA cu </w:t>
      </w:r>
      <w:r w:rsidRPr="00884B00">
        <w:rPr>
          <w:b/>
          <w:noProof/>
        </w:rPr>
        <w:t>Iordania</w:t>
      </w:r>
      <w:r w:rsidRPr="00884B00">
        <w:rPr>
          <w:noProof/>
        </w:rPr>
        <w:t xml:space="preserve">, </w:t>
      </w:r>
      <w:r w:rsidRPr="00884B00">
        <w:rPr>
          <w:b/>
          <w:noProof/>
        </w:rPr>
        <w:t>Liban</w:t>
      </w:r>
      <w:r w:rsidRPr="00884B00">
        <w:rPr>
          <w:noProof/>
        </w:rPr>
        <w:t xml:space="preserve"> și </w:t>
      </w:r>
      <w:r w:rsidRPr="00884B00">
        <w:rPr>
          <w:b/>
          <w:noProof/>
        </w:rPr>
        <w:t>Maroc</w:t>
      </w:r>
      <w:r w:rsidRPr="00884B00">
        <w:rPr>
          <w:noProof/>
        </w:rPr>
        <w:t>. Cooperarea strategică cu parteneri-cheie de la nivel mondial a fost aprofundată, inclusiv prin intermediul Consiliului UE-</w:t>
      </w:r>
      <w:r w:rsidRPr="00884B00">
        <w:rPr>
          <w:b/>
          <w:noProof/>
        </w:rPr>
        <w:t>India</w:t>
      </w:r>
      <w:r w:rsidRPr="00884B00">
        <w:rPr>
          <w:noProof/>
        </w:rPr>
        <w:t xml:space="preserve"> pentru comerț și tehnologie. Cooperarea cu </w:t>
      </w:r>
      <w:r w:rsidRPr="00884B00">
        <w:rPr>
          <w:b/>
          <w:noProof/>
        </w:rPr>
        <w:t>America Latină și cu regiunea Caraibe</w:t>
      </w:r>
      <w:r w:rsidRPr="00884B00">
        <w:rPr>
          <w:noProof/>
        </w:rPr>
        <w:t xml:space="preserve"> a luat avânt odată cu prima reuniune ministerială UE-CELAC privind C&amp;I.</w:t>
      </w:r>
    </w:p>
    <w:p w14:paraId="0807D723" w14:textId="78A03853" w:rsidR="00A92E41" w:rsidRPr="00884B00" w:rsidRDefault="00D63CCA" w:rsidP="00CE4E4E">
      <w:pPr>
        <w:rPr>
          <w:noProof/>
        </w:rPr>
      </w:pPr>
      <w:r w:rsidRPr="00884B00">
        <w:rPr>
          <w:noProof/>
        </w:rPr>
        <w:t xml:space="preserve">Deși anul a început cu reînnoirea cu succes a Acordului </w:t>
      </w:r>
      <w:r w:rsidRPr="00884B00">
        <w:rPr>
          <w:b/>
          <w:noProof/>
        </w:rPr>
        <w:t>UE-SUA</w:t>
      </w:r>
      <w:r w:rsidRPr="00884B00">
        <w:rPr>
          <w:noProof/>
        </w:rPr>
        <w:t xml:space="preserve"> privind știința și tehnologia, schimbările ulterioare de politică ale SUA au afectat domenii-cheie, cum ar fi acțiunile climatice. În acest context, UE a menținut un dialog deschis și a consolidat inițiativele multilaterale, în special în ceea ce privește observarea climei și a oceanelor. </w:t>
      </w:r>
    </w:p>
    <w:p w14:paraId="51AF53BD" w14:textId="47268B60" w:rsidR="0043634A" w:rsidRPr="00884B00" w:rsidRDefault="00CF32A5" w:rsidP="00A4763C">
      <w:pPr>
        <w:pStyle w:val="NormalWeb"/>
        <w:spacing w:before="120" w:beforeAutospacing="0" w:after="120" w:afterAutospacing="0"/>
        <w:jc w:val="both"/>
        <w:rPr>
          <w:noProof/>
        </w:rPr>
      </w:pPr>
      <w:r w:rsidRPr="00884B00">
        <w:rPr>
          <w:noProof/>
        </w:rPr>
        <w:t xml:space="preserve">Acest angajament față de </w:t>
      </w:r>
      <w:r w:rsidRPr="00884B00">
        <w:rPr>
          <w:b/>
          <w:noProof/>
        </w:rPr>
        <w:t>multilateralism</w:t>
      </w:r>
      <w:r w:rsidRPr="00884B00">
        <w:rPr>
          <w:noProof/>
        </w:rPr>
        <w:t xml:space="preserve"> s-a reflectat în adoptarea pachetului G20 de la Tshwane, care promovează inovarea deschisă, precum și în rolul consolidat al UE în diplomația științifică mondială. În plus, Comisia a coprezidat Forumul mondial din 2025 al Grupului pentru observarea Pământului și a prezidat </w:t>
      </w:r>
      <w:hyperlink r:id="rId63" w:anchor=":~:text=What%20is%20the%20All-Atlantic%20Ocean%20Research%20and%20Innovation,Atlantic%20to%20enhance%20marine%20research%20and%20innovation%20cooperation." w:history="1">
        <w:r w:rsidRPr="00884B00">
          <w:rPr>
            <w:rStyle w:val="Hyperlink"/>
            <w:noProof/>
          </w:rPr>
          <w:t>Alianța pentru cercetarea Oceanului Atlantic.</w:t>
        </w:r>
      </w:hyperlink>
      <w:r w:rsidRPr="00884B00">
        <w:rPr>
          <w:noProof/>
        </w:rPr>
        <w:t xml:space="preserve"> Comisia a organizat forumul Alianței în septembrie, în cadrul căruia au fost lansate </w:t>
      </w:r>
      <w:hyperlink r:id="rId64" w:history="1">
        <w:r w:rsidRPr="00884B00">
          <w:rPr>
            <w:rStyle w:val="Hyperlink"/>
            <w:noProof/>
          </w:rPr>
          <w:t>Rețeaua atlantică a siturilor cu balize de reziliență costieră</w:t>
        </w:r>
      </w:hyperlink>
      <w:r w:rsidRPr="00884B00">
        <w:rPr>
          <w:noProof/>
        </w:rPr>
        <w:t xml:space="preserve"> și </w:t>
      </w:r>
      <w:hyperlink r:id="rId65" w:anchor=":~:text=Brussels%2C%2025%20September%202025%20%E2%80%93%20The%20All-Atlantic%20Ocean,empower%20ocean%20professionals%20across%20generations%2C%20cultures%2C%20and%20continents." w:history="1">
        <w:r w:rsidRPr="00884B00">
          <w:rPr>
            <w:rStyle w:val="Hyperlink"/>
            <w:noProof/>
          </w:rPr>
          <w:t>programul „Blue Intergenerational”</w:t>
        </w:r>
      </w:hyperlink>
      <w:r w:rsidRPr="00884B00">
        <w:rPr>
          <w:noProof/>
        </w:rPr>
        <w:t xml:space="preserve">. În cadrul </w:t>
      </w:r>
      <w:r w:rsidRPr="00884B00">
        <w:rPr>
          <w:b/>
          <w:noProof/>
        </w:rPr>
        <w:t>Misiunii inovare</w:t>
      </w:r>
      <w:r w:rsidRPr="00884B00">
        <w:rPr>
          <w:noProof/>
        </w:rPr>
        <w:t>, UE a accelerat tranziția către o energie curată, identificând 101 proiecte privind văile de hidrogen în 38 de țări.</w:t>
      </w:r>
    </w:p>
    <w:p w14:paraId="1B4BF6FE" w14:textId="417811F4" w:rsidR="00323869" w:rsidRPr="00884B00" w:rsidRDefault="00323869" w:rsidP="00A4763C">
      <w:pPr>
        <w:pStyle w:val="NormalWeb"/>
        <w:spacing w:before="120" w:beforeAutospacing="0" w:after="120" w:afterAutospacing="0"/>
        <w:jc w:val="both"/>
        <w:rPr>
          <w:noProof/>
        </w:rPr>
      </w:pPr>
      <w:r w:rsidRPr="00884B00">
        <w:rPr>
          <w:noProof/>
        </w:rPr>
        <w:t xml:space="preserve">Orizont Europa joacă un rol esențial în sprijinirea domeniilor prioritare ale </w:t>
      </w:r>
      <w:hyperlink r:id="rId66" w:history="1">
        <w:r w:rsidRPr="00884B00">
          <w:rPr>
            <w:rStyle w:val="Hyperlink"/>
            <w:noProof/>
          </w:rPr>
          <w:t>strategiei „Global Gateway”</w:t>
        </w:r>
      </w:hyperlink>
      <w:r w:rsidRPr="00884B00">
        <w:rPr>
          <w:noProof/>
        </w:rPr>
        <w:t>.</w:t>
      </w:r>
    </w:p>
    <w:p w14:paraId="444287C5" w14:textId="2CBDB5DF" w:rsidR="003914AE" w:rsidRPr="00884B00" w:rsidRDefault="003914AE" w:rsidP="00CE4E4E">
      <w:pPr>
        <w:pStyle w:val="Heading2"/>
        <w:rPr>
          <w:noProof/>
        </w:rPr>
      </w:pPr>
      <w:r w:rsidRPr="00884B00">
        <w:rPr>
          <w:noProof/>
        </w:rPr>
        <w:t>Acțiunile directe nenucleare puse în aplicare de Centrul Comun de Cercetare (JRC) al Comisiei</w:t>
      </w:r>
    </w:p>
    <w:p w14:paraId="135DE09C" w14:textId="55784953" w:rsidR="00C611D7" w:rsidRPr="00884B00" w:rsidRDefault="0072438A" w:rsidP="00CE4E4E">
      <w:pPr>
        <w:rPr>
          <w:iCs/>
          <w:noProof/>
        </w:rPr>
      </w:pPr>
      <w:r w:rsidRPr="00884B00">
        <w:rPr>
          <w:noProof/>
        </w:rPr>
        <w:t xml:space="preserve">JRC a produs 824 de publicații evaluate </w:t>
      </w:r>
      <w:r w:rsidRPr="00884B00">
        <w:rPr>
          <w:i/>
          <w:noProof/>
        </w:rPr>
        <w:t>inter pares</w:t>
      </w:r>
      <w:r w:rsidRPr="00884B00">
        <w:rPr>
          <w:noProof/>
        </w:rPr>
        <w:t xml:space="preserve"> și 917 rezultate științifice în sprijinul politicilor și tehnice. Printre aspectele importante se numără următoarele:</w:t>
      </w:r>
    </w:p>
    <w:p w14:paraId="6915DC7B" w14:textId="5E275C6A" w:rsidR="00685644" w:rsidRPr="00884B00" w:rsidRDefault="003813D3" w:rsidP="00CE4E4E">
      <w:pPr>
        <w:numPr>
          <w:ilvl w:val="0"/>
          <w:numId w:val="59"/>
        </w:numPr>
        <w:rPr>
          <w:iCs/>
          <w:noProof/>
        </w:rPr>
      </w:pPr>
      <w:r w:rsidRPr="00884B00">
        <w:rPr>
          <w:noProof/>
        </w:rPr>
        <w:t xml:space="preserve">un </w:t>
      </w:r>
      <w:hyperlink r:id="rId67" w:history="1">
        <w:r w:rsidRPr="00884B00">
          <w:rPr>
            <w:rStyle w:val="Hyperlink"/>
            <w:noProof/>
          </w:rPr>
          <w:t xml:space="preserve">raport prospectiv privind </w:t>
        </w:r>
        <w:r w:rsidRPr="00884B00">
          <w:rPr>
            <w:rStyle w:val="Hyperlink"/>
            <w:b/>
            <w:noProof/>
          </w:rPr>
          <w:t>IA generativă</w:t>
        </w:r>
      </w:hyperlink>
      <w:r w:rsidRPr="00884B00">
        <w:rPr>
          <w:noProof/>
        </w:rPr>
        <w:t>, care oferă o analiză prospectivă a potențialului său transformator în UE, inclusiv a impactului socioeconomic asupra asistenței medicale, educației, ocupării forței de muncă, dar și asupra altor domenii;</w:t>
      </w:r>
      <w:r w:rsidRPr="00884B00">
        <w:rPr>
          <w:b/>
          <w:noProof/>
        </w:rPr>
        <w:t xml:space="preserve"> </w:t>
      </w:r>
    </w:p>
    <w:p w14:paraId="06B8556C" w14:textId="1352862D" w:rsidR="00685644" w:rsidRPr="00884B00" w:rsidRDefault="003813D3" w:rsidP="00CE4E4E">
      <w:pPr>
        <w:numPr>
          <w:ilvl w:val="0"/>
          <w:numId w:val="59"/>
        </w:numPr>
        <w:rPr>
          <w:iCs/>
          <w:noProof/>
        </w:rPr>
      </w:pPr>
      <w:r w:rsidRPr="00884B00">
        <w:rPr>
          <w:noProof/>
        </w:rPr>
        <w:t xml:space="preserve">lansarea unui nou </w:t>
      </w:r>
      <w:hyperlink r:id="rId68" w:history="1">
        <w:r w:rsidRPr="00884B00">
          <w:rPr>
            <w:rStyle w:val="Hyperlink"/>
            <w:noProof/>
          </w:rPr>
          <w:t xml:space="preserve">laborator JRC pentru </w:t>
        </w:r>
        <w:r w:rsidRPr="00884B00">
          <w:rPr>
            <w:rStyle w:val="Hyperlink"/>
            <w:b/>
            <w:noProof/>
          </w:rPr>
          <w:t>securitatea frontierelor</w:t>
        </w:r>
      </w:hyperlink>
      <w:r w:rsidRPr="00884B00">
        <w:rPr>
          <w:noProof/>
        </w:rPr>
        <w:t>, o rețea de laboratoare care colaborează îndeaproape cu agențiile UE de aplicare a legii;</w:t>
      </w:r>
    </w:p>
    <w:p w14:paraId="27FED170" w14:textId="53D5D30D" w:rsidR="00706374" w:rsidRPr="00884B00" w:rsidRDefault="003813D3" w:rsidP="00CE4E4E">
      <w:pPr>
        <w:numPr>
          <w:ilvl w:val="0"/>
          <w:numId w:val="59"/>
        </w:numPr>
        <w:rPr>
          <w:iCs/>
          <w:noProof/>
        </w:rPr>
      </w:pPr>
      <w:r w:rsidRPr="00884B00">
        <w:rPr>
          <w:noProof/>
        </w:rPr>
        <w:t xml:space="preserve">o nouă ediție a </w:t>
      </w:r>
      <w:hyperlink r:id="rId69" w:history="1">
        <w:r w:rsidRPr="00884B00">
          <w:rPr>
            <w:rStyle w:val="Hyperlink"/>
            <w:b/>
            <w:noProof/>
          </w:rPr>
          <w:t>Atlasului migrației</w:t>
        </w:r>
      </w:hyperlink>
      <w:r w:rsidRPr="00884B00">
        <w:rPr>
          <w:noProof/>
        </w:rPr>
        <w:t xml:space="preserve">, care oferă o imagine de ansamblu armonizată a migrației la nivel mondial; </w:t>
      </w:r>
    </w:p>
    <w:p w14:paraId="3EDDEA24" w14:textId="5FF21855" w:rsidR="00706374" w:rsidRPr="00884B00" w:rsidRDefault="003813D3" w:rsidP="00CE4E4E">
      <w:pPr>
        <w:numPr>
          <w:ilvl w:val="0"/>
          <w:numId w:val="59"/>
        </w:numPr>
        <w:rPr>
          <w:iCs/>
          <w:noProof/>
        </w:rPr>
      </w:pPr>
      <w:r w:rsidRPr="00884B00">
        <w:rPr>
          <w:noProof/>
        </w:rPr>
        <w:t xml:space="preserve">un raport științific în sprijinul politicilor privind </w:t>
      </w:r>
      <w:hyperlink r:id="rId70" w:history="1">
        <w:r w:rsidRPr="00884B00">
          <w:rPr>
            <w:rStyle w:val="Hyperlink"/>
            <w:noProof/>
          </w:rPr>
          <w:t xml:space="preserve">valorificarea potențialului tranziției către </w:t>
        </w:r>
        <w:r w:rsidRPr="00884B00">
          <w:rPr>
            <w:rStyle w:val="Hyperlink"/>
            <w:b/>
            <w:noProof/>
          </w:rPr>
          <w:t>economia circulară</w:t>
        </w:r>
        <w:r w:rsidRPr="00884B00">
          <w:rPr>
            <w:rStyle w:val="Hyperlink"/>
            <w:noProof/>
          </w:rPr>
          <w:t xml:space="preserve"> în industriile mari consumatoare de energie</w:t>
        </w:r>
      </w:hyperlink>
      <w:r w:rsidRPr="00884B00">
        <w:rPr>
          <w:noProof/>
        </w:rPr>
        <w:t>;</w:t>
      </w:r>
    </w:p>
    <w:p w14:paraId="2BAD89E1" w14:textId="74293592" w:rsidR="0072438A" w:rsidRPr="00884B00" w:rsidRDefault="0072438A" w:rsidP="0072438A">
      <w:pPr>
        <w:pStyle w:val="ListParagraph"/>
        <w:numPr>
          <w:ilvl w:val="0"/>
          <w:numId w:val="59"/>
        </w:numPr>
        <w:spacing w:before="120" w:after="120" w:line="240" w:lineRule="auto"/>
        <w:ind w:left="714" w:hanging="357"/>
        <w:contextualSpacing w:val="0"/>
        <w:jc w:val="both"/>
        <w:rPr>
          <w:rFonts w:ascii="Times New Roman" w:eastAsia="Times New Roman" w:hAnsi="Times New Roman"/>
          <w:noProof/>
          <w:sz w:val="24"/>
          <w:szCs w:val="24"/>
        </w:rPr>
      </w:pPr>
      <w:r w:rsidRPr="00884B00">
        <w:rPr>
          <w:rFonts w:ascii="Times New Roman" w:hAnsi="Times New Roman"/>
          <w:noProof/>
          <w:sz w:val="24"/>
        </w:rPr>
        <w:t xml:space="preserve">lansarea platformei </w:t>
      </w:r>
      <w:hyperlink r:id="rId71" w:history="1">
        <w:r w:rsidRPr="00884B00">
          <w:rPr>
            <w:rStyle w:val="Hyperlink"/>
            <w:rFonts w:ascii="Times New Roman" w:hAnsi="Times New Roman"/>
            <w:b/>
            <w:noProof/>
            <w:sz w:val="24"/>
          </w:rPr>
          <w:t>„Transport Poverty Hub”</w:t>
        </w:r>
      </w:hyperlink>
      <w:r w:rsidRPr="00884B00">
        <w:rPr>
          <w:rFonts w:ascii="Times New Roman" w:hAnsi="Times New Roman"/>
          <w:noProof/>
          <w:sz w:val="24"/>
        </w:rPr>
        <w:t>, care permite intervenții și monitorizarea progreselor în direcția unor sisteme de transport ale UE mai favorabile incluziunii.</w:t>
      </w:r>
    </w:p>
    <w:p w14:paraId="6FFA1CC9" w14:textId="659C5742" w:rsidR="0072438A" w:rsidRPr="00884B00" w:rsidRDefault="00C169F0" w:rsidP="005E7B29">
      <w:pPr>
        <w:pStyle w:val="ListParagraph"/>
        <w:numPr>
          <w:ilvl w:val="0"/>
          <w:numId w:val="59"/>
        </w:numPr>
        <w:spacing w:before="120" w:after="120" w:line="240" w:lineRule="auto"/>
        <w:ind w:left="714" w:hanging="357"/>
        <w:contextualSpacing w:val="0"/>
        <w:jc w:val="both"/>
        <w:rPr>
          <w:noProof/>
        </w:rPr>
      </w:pPr>
      <w:hyperlink r:id="rId72" w:history="1">
        <w:r w:rsidR="0072438A" w:rsidRPr="00884B00">
          <w:rPr>
            <w:rStyle w:val="Hyperlink"/>
            <w:rFonts w:ascii="Times New Roman" w:hAnsi="Times New Roman"/>
            <w:noProof/>
            <w:sz w:val="24"/>
          </w:rPr>
          <w:t xml:space="preserve">două noi </w:t>
        </w:r>
        <w:r w:rsidR="0072438A" w:rsidRPr="00884B00">
          <w:rPr>
            <w:rStyle w:val="Hyperlink"/>
            <w:rFonts w:ascii="Times New Roman" w:hAnsi="Times New Roman"/>
            <w:b/>
            <w:noProof/>
            <w:sz w:val="24"/>
          </w:rPr>
          <w:t>atlase privind particulele fine în suspensie</w:t>
        </w:r>
        <w:r w:rsidR="0072438A" w:rsidRPr="00884B00">
          <w:rPr>
            <w:rStyle w:val="Hyperlink"/>
            <w:rFonts w:ascii="Times New Roman" w:hAnsi="Times New Roman"/>
            <w:noProof/>
            <w:sz w:val="24"/>
          </w:rPr>
          <w:t xml:space="preserve"> (PM2,5)</w:t>
        </w:r>
      </w:hyperlink>
      <w:r w:rsidR="0072438A" w:rsidRPr="00884B00">
        <w:rPr>
          <w:rFonts w:ascii="Times New Roman" w:hAnsi="Times New Roman"/>
          <w:noProof/>
          <w:color w:val="153D63"/>
          <w:sz w:val="24"/>
        </w:rPr>
        <w:t xml:space="preserve"> </w:t>
      </w:r>
      <w:r w:rsidR="0072438A" w:rsidRPr="00884B00">
        <w:rPr>
          <w:rFonts w:ascii="Times New Roman" w:hAnsi="Times New Roman"/>
          <w:noProof/>
          <w:sz w:val="24"/>
        </w:rPr>
        <w:t>– care acoperă pentru prima dată orașele din țările implicate în procesul de aderare.</w:t>
      </w:r>
    </w:p>
    <w:p w14:paraId="6CF9DC3F" w14:textId="77777777" w:rsidR="00E015E4" w:rsidRPr="00884B00" w:rsidRDefault="00E015E4" w:rsidP="00CE4E4E">
      <w:pPr>
        <w:rPr>
          <w:noProof/>
          <w:lang w:eastAsia="en-GB"/>
        </w:rPr>
      </w:pPr>
    </w:p>
    <w:p w14:paraId="140BB3E8" w14:textId="4F18D826" w:rsidR="00EE17E3" w:rsidRPr="00884B00" w:rsidRDefault="00517B47" w:rsidP="00CE4E4E">
      <w:pPr>
        <w:pStyle w:val="Heading1"/>
        <w:spacing w:before="120"/>
        <w:rPr>
          <w:noProof/>
        </w:rPr>
      </w:pPr>
      <w:r w:rsidRPr="00884B00">
        <w:rPr>
          <w:noProof/>
        </w:rPr>
        <w:t>Punerea în aplicare și monitorizarea programelor Orizont Europa și Euratom</w:t>
      </w:r>
    </w:p>
    <w:p w14:paraId="2C15922F" w14:textId="78C0CCCD" w:rsidR="004858CF" w:rsidRPr="00884B00" w:rsidRDefault="004858CF" w:rsidP="00CE4E4E">
      <w:pPr>
        <w:pStyle w:val="Heading2"/>
        <w:rPr>
          <w:noProof/>
        </w:rPr>
      </w:pPr>
      <w:r w:rsidRPr="00884B00">
        <w:rPr>
          <w:noProof/>
        </w:rPr>
        <w:t>Orizont Europa în 2025 – aspecte importante și caracteristici noi</w:t>
      </w:r>
    </w:p>
    <w:p w14:paraId="4A38AC9A" w14:textId="445B89D5" w:rsidR="007E2E91" w:rsidRPr="00884B00" w:rsidRDefault="00A40D81" w:rsidP="00CE4E4E">
      <w:pPr>
        <w:rPr>
          <w:iCs/>
          <w:noProof/>
        </w:rPr>
      </w:pPr>
      <w:r w:rsidRPr="00884B00">
        <w:rPr>
          <w:noProof/>
        </w:rPr>
        <w:t>Anul 2025 a fost caracterizat de evoluții majore în materie de programare pentru ultimii trei ani ai programului Orizont Europa 2021-2027. Programul de lucru „principal” al Orizont Europa pentru anul 2025 a fost adoptat în luna mai, fiind urmat de programul de lucru „principal” pentru perioada 2026-2027 în luna decembrie. Ambele programe de lucru au pus un accent puternic pe simplificare, iar cel din urmă a introdus, de asemenea, utilizarea cererilor de propuneri orizontale în domenii strategice.</w:t>
      </w:r>
    </w:p>
    <w:p w14:paraId="70B99CF5" w14:textId="5E59BC9C" w:rsidR="00B272C6" w:rsidRPr="00884B00" w:rsidRDefault="00B272C6" w:rsidP="00CE4E4E">
      <w:pPr>
        <w:keepNext/>
        <w:rPr>
          <w:b/>
          <w:bCs/>
          <w:noProof/>
        </w:rPr>
      </w:pPr>
      <w:r w:rsidRPr="00884B00">
        <w:rPr>
          <w:b/>
          <w:noProof/>
        </w:rPr>
        <w:t xml:space="preserve">Asocierea țărilor terțe la Orizont Europa </w:t>
      </w:r>
    </w:p>
    <w:p w14:paraId="28DF7173" w14:textId="06C39888" w:rsidR="29128EC0" w:rsidRPr="00884B00" w:rsidRDefault="00A40D81" w:rsidP="00CE4E4E">
      <w:pPr>
        <w:rPr>
          <w:i/>
          <w:iCs/>
          <w:noProof/>
        </w:rPr>
      </w:pPr>
      <w:r w:rsidRPr="00884B00">
        <w:rPr>
          <w:noProof/>
        </w:rPr>
        <w:t xml:space="preserve">Numărul </w:t>
      </w:r>
      <w:hyperlink r:id="rId73" w:history="1">
        <w:r w:rsidRPr="00884B00">
          <w:rPr>
            <w:rStyle w:val="Hyperlink"/>
            <w:noProof/>
          </w:rPr>
          <w:t>țărilor asociate</w:t>
        </w:r>
      </w:hyperlink>
      <w:r w:rsidRPr="00884B00">
        <w:rPr>
          <w:noProof/>
        </w:rPr>
        <w:t xml:space="preserve"> a ajuns la 22. În cursul anului au fost semnate mai multe acorduri de asociere: Elveția și Egiptul s-au alăturat întregului program Orizont Europa, în timp ce Republica Coreea s-a alăturat pilonului II al programului. Contribuția operațională combinată din partea țărilor asociate în 2025 a fost de 3,3 miliarde EUR, înregistrându-se peste 15 500 de participări de la începutul acestui program-cadru.  </w:t>
      </w:r>
    </w:p>
    <w:p w14:paraId="2D576587" w14:textId="710897E4" w:rsidR="029DFAF1" w:rsidRPr="00884B00" w:rsidRDefault="029DFAF1" w:rsidP="00CE4E4E">
      <w:pPr>
        <w:pStyle w:val="Heading2"/>
        <w:rPr>
          <w:noProof/>
        </w:rPr>
      </w:pPr>
      <w:r w:rsidRPr="00884B00">
        <w:rPr>
          <w:noProof/>
        </w:rPr>
        <w:t>Simplificarea programului Orizont Europa</w:t>
      </w:r>
    </w:p>
    <w:p w14:paraId="4A022AA7" w14:textId="77777777" w:rsidR="003E2FFC" w:rsidRPr="00884B00" w:rsidRDefault="003E2FFC" w:rsidP="00CE4E4E">
      <w:pPr>
        <w:rPr>
          <w:noProof/>
        </w:rPr>
      </w:pPr>
      <w:r w:rsidRPr="00884B00">
        <w:rPr>
          <w:noProof/>
        </w:rPr>
        <w:t xml:space="preserve">Anul 2025 a marcat un punct de cotitură pentru simplificarea mediului UE de sprijinire a C&amp;I. </w:t>
      </w:r>
    </w:p>
    <w:p w14:paraId="502B1804" w14:textId="26A2DABB" w:rsidR="003E2FFC" w:rsidRPr="00884B00" w:rsidRDefault="003E2FFC" w:rsidP="00CE4E4E">
      <w:pPr>
        <w:spacing w:line="259" w:lineRule="auto"/>
        <w:rPr>
          <w:noProof/>
        </w:rPr>
      </w:pPr>
      <w:r w:rsidRPr="00884B00">
        <w:rPr>
          <w:noProof/>
        </w:rPr>
        <w:t>Orizont Europa a realizat următoarele reforme practice care au redus administrarea și au accelerat rezultatele în materie de inovare.</w:t>
      </w:r>
    </w:p>
    <w:p w14:paraId="20453902" w14:textId="00B86BF7" w:rsidR="003E2FFC" w:rsidRPr="00884B00" w:rsidRDefault="003813D3" w:rsidP="00CE4E4E">
      <w:pPr>
        <w:pStyle w:val="ListParagraph"/>
        <w:numPr>
          <w:ilvl w:val="0"/>
          <w:numId w:val="65"/>
        </w:numPr>
        <w:spacing w:before="120" w:after="120"/>
        <w:jc w:val="both"/>
        <w:rPr>
          <w:rFonts w:ascii="Times New Roman" w:hAnsi="Times New Roman"/>
          <w:noProof/>
          <w:sz w:val="24"/>
          <w:szCs w:val="24"/>
        </w:rPr>
      </w:pPr>
      <w:r w:rsidRPr="00884B00">
        <w:rPr>
          <w:rFonts w:ascii="Times New Roman" w:hAnsi="Times New Roman"/>
          <w:b/>
          <w:noProof/>
          <w:sz w:val="24"/>
        </w:rPr>
        <w:t>Finanțarea în sume forfetare</w:t>
      </w:r>
      <w:r w:rsidRPr="00884B00">
        <w:rPr>
          <w:rFonts w:ascii="Times New Roman" w:hAnsi="Times New Roman"/>
          <w:noProof/>
          <w:sz w:val="24"/>
        </w:rPr>
        <w:t xml:space="preserve"> a fost pusă în aplicare treptat, reducând necesitatea de a raporta costurile efective și facilitând participarea, în special pentru IMM-uri și nou-veniți. Principalele obiective sunt reducerea complexității administrative pentru beneficiari și reducerea erorilor financiare. </w:t>
      </w:r>
    </w:p>
    <w:p w14:paraId="1AA8B641" w14:textId="6B6EC423" w:rsidR="003E2FFC" w:rsidRPr="00884B00" w:rsidRDefault="002116B3" w:rsidP="00CE4E4E">
      <w:pPr>
        <w:pStyle w:val="ListParagraph"/>
        <w:numPr>
          <w:ilvl w:val="0"/>
          <w:numId w:val="65"/>
        </w:numPr>
        <w:spacing w:before="120" w:after="120"/>
        <w:jc w:val="both"/>
        <w:rPr>
          <w:rFonts w:ascii="Times New Roman" w:hAnsi="Times New Roman"/>
          <w:noProof/>
          <w:sz w:val="24"/>
          <w:szCs w:val="24"/>
        </w:rPr>
      </w:pPr>
      <w:r w:rsidRPr="00884B00">
        <w:rPr>
          <w:rFonts w:ascii="Times New Roman" w:hAnsi="Times New Roman"/>
          <w:noProof/>
          <w:sz w:val="24"/>
        </w:rPr>
        <w:t xml:space="preserve">Programele de lucru au propus </w:t>
      </w:r>
      <w:r w:rsidRPr="00884B00">
        <w:rPr>
          <w:rFonts w:ascii="Times New Roman" w:hAnsi="Times New Roman"/>
          <w:b/>
          <w:noProof/>
          <w:sz w:val="24"/>
        </w:rPr>
        <w:t>mai puține teme</w:t>
      </w:r>
      <w:r w:rsidRPr="00884B00">
        <w:rPr>
          <w:rFonts w:ascii="Times New Roman" w:hAnsi="Times New Roman"/>
          <w:noProof/>
          <w:sz w:val="24"/>
        </w:rPr>
        <w:t xml:space="preserve">, cu descrieri mai scurte, și un text prescurtat al programului de lucru. De asemenea, au introdus mai multe </w:t>
      </w:r>
      <w:r w:rsidRPr="00884B00">
        <w:rPr>
          <w:rFonts w:ascii="Times New Roman" w:hAnsi="Times New Roman"/>
          <w:b/>
          <w:noProof/>
          <w:sz w:val="24"/>
        </w:rPr>
        <w:t>teme deschise</w:t>
      </w:r>
      <w:r w:rsidRPr="00884B00">
        <w:rPr>
          <w:rFonts w:ascii="Times New Roman" w:hAnsi="Times New Roman"/>
          <w:noProof/>
          <w:sz w:val="24"/>
        </w:rPr>
        <w:t>, menținând în același timp direcția strategică.</w:t>
      </w:r>
    </w:p>
    <w:p w14:paraId="55649BC0" w14:textId="731E3963" w:rsidR="003E2FFC" w:rsidRPr="00884B00" w:rsidRDefault="00E054C0" w:rsidP="00CE4E4E">
      <w:pPr>
        <w:pStyle w:val="ListParagraph"/>
        <w:numPr>
          <w:ilvl w:val="0"/>
          <w:numId w:val="65"/>
        </w:numPr>
        <w:spacing w:before="120" w:after="120"/>
        <w:jc w:val="both"/>
        <w:rPr>
          <w:rFonts w:ascii="Times New Roman" w:hAnsi="Times New Roman"/>
          <w:noProof/>
          <w:sz w:val="24"/>
          <w:szCs w:val="24"/>
        </w:rPr>
      </w:pPr>
      <w:r w:rsidRPr="00884B00">
        <w:rPr>
          <w:rFonts w:ascii="Times New Roman" w:hAnsi="Times New Roman"/>
          <w:b/>
          <w:noProof/>
          <w:sz w:val="24"/>
        </w:rPr>
        <w:t>Cerințele propunerii</w:t>
      </w:r>
      <w:r w:rsidRPr="00884B00">
        <w:rPr>
          <w:rFonts w:ascii="Times New Roman" w:hAnsi="Times New Roman"/>
          <w:noProof/>
          <w:sz w:val="24"/>
        </w:rPr>
        <w:t xml:space="preserve"> au fost raționalizate, fiind necesare mai puține informații prealabile cu privire la mai multe aspecte legate de politică, ceea ce a dus la un formular de propunere mai scurt.</w:t>
      </w:r>
    </w:p>
    <w:p w14:paraId="0FB8012D" w14:textId="273D6E97" w:rsidR="003E2FFC" w:rsidRPr="00884B00" w:rsidRDefault="003E2FFC" w:rsidP="007B40D5">
      <w:pPr>
        <w:pStyle w:val="ListParagraph"/>
        <w:numPr>
          <w:ilvl w:val="0"/>
          <w:numId w:val="65"/>
        </w:numPr>
        <w:rPr>
          <w:rFonts w:ascii="Times New Roman" w:hAnsi="Times New Roman"/>
          <w:noProof/>
          <w:sz w:val="24"/>
          <w:szCs w:val="24"/>
        </w:rPr>
      </w:pPr>
      <w:r w:rsidRPr="00884B00">
        <w:rPr>
          <w:rFonts w:ascii="Times New Roman" w:hAnsi="Times New Roman"/>
          <w:b/>
          <w:noProof/>
          <w:sz w:val="24"/>
        </w:rPr>
        <w:t>Evaluarea în două etape</w:t>
      </w:r>
      <w:r w:rsidRPr="00884B00">
        <w:rPr>
          <w:rFonts w:ascii="Times New Roman" w:hAnsi="Times New Roman"/>
          <w:noProof/>
          <w:sz w:val="24"/>
        </w:rPr>
        <w:t xml:space="preserve"> a fost utilizată pentru 29 de teme, permițând solicitanților să depună mai întâi propuneri mai scurte și să pregătească propuneri complete numai dacă sunt selectați pentru a doua etapă.</w:t>
      </w:r>
      <w:r w:rsidRPr="00884B00">
        <w:rPr>
          <w:noProof/>
        </w:rPr>
        <w:t xml:space="preserve"> </w:t>
      </w:r>
      <w:r w:rsidRPr="00884B00">
        <w:rPr>
          <w:rFonts w:ascii="Times New Roman" w:hAnsi="Times New Roman"/>
          <w:noProof/>
          <w:sz w:val="24"/>
        </w:rPr>
        <w:t>Multe dintre aceste propuneri scurte sunt evaluate „în orb”, ca o modalitate de a evita riscul potențial de părtinire.</w:t>
      </w:r>
    </w:p>
    <w:p w14:paraId="2111C875" w14:textId="2DC65581" w:rsidR="003E2FFC" w:rsidRPr="00884B00" w:rsidRDefault="003E2FFC" w:rsidP="00CE4E4E">
      <w:pPr>
        <w:pStyle w:val="ListParagraph"/>
        <w:numPr>
          <w:ilvl w:val="0"/>
          <w:numId w:val="65"/>
        </w:numPr>
        <w:spacing w:before="120" w:after="120"/>
        <w:jc w:val="both"/>
        <w:rPr>
          <w:rFonts w:ascii="Times New Roman" w:hAnsi="Times New Roman"/>
          <w:noProof/>
          <w:sz w:val="24"/>
          <w:szCs w:val="24"/>
        </w:rPr>
      </w:pPr>
      <w:r w:rsidRPr="00884B00">
        <w:rPr>
          <w:rFonts w:ascii="Times New Roman" w:hAnsi="Times New Roman"/>
          <w:b/>
          <w:noProof/>
          <w:sz w:val="24"/>
        </w:rPr>
        <w:t>Transparența</w:t>
      </w:r>
      <w:r w:rsidRPr="00884B00">
        <w:rPr>
          <w:rFonts w:ascii="Times New Roman" w:hAnsi="Times New Roman"/>
          <w:noProof/>
          <w:sz w:val="24"/>
        </w:rPr>
        <w:t xml:space="preserve"> a fost îmbunătățită prin punerea la dispoziția publicului a textelor proiectelor de programe de lucru. </w:t>
      </w:r>
    </w:p>
    <w:p w14:paraId="4243F151" w14:textId="3E12856C" w:rsidR="003E2FFC" w:rsidRPr="00884B00" w:rsidRDefault="003E2FFC" w:rsidP="00CE4E4E">
      <w:pPr>
        <w:rPr>
          <w:noProof/>
        </w:rPr>
      </w:pPr>
      <w:r w:rsidRPr="00884B00">
        <w:rPr>
          <w:b/>
          <w:noProof/>
        </w:rPr>
        <w:t>Dialogurile privind punerea în aplicare și verificările situației reale</w:t>
      </w:r>
      <w:r w:rsidRPr="00884B00">
        <w:rPr>
          <w:noProof/>
        </w:rPr>
        <w:t xml:space="preserve"> au permis feedback direct din partea start-upurilor, a cercetătorilor și a inovatorilor cu privire la blocajele în ceea ce privește depunerea propunerilor, evaluarea și gestionarea granturilor, contribuind la identificarea priorităților pentru o simplificare suplimentară.</w:t>
      </w:r>
    </w:p>
    <w:p w14:paraId="07A30117" w14:textId="32E4C06F" w:rsidR="00CE026A" w:rsidRPr="00884B00" w:rsidRDefault="00364B5B" w:rsidP="00C52261">
      <w:pPr>
        <w:spacing w:line="259" w:lineRule="auto"/>
        <w:rPr>
          <w:noProof/>
        </w:rPr>
      </w:pPr>
      <w:r w:rsidRPr="00884B00">
        <w:rPr>
          <w:noProof/>
        </w:rPr>
        <w:t xml:space="preserve">Punerea în aplicare a fost simplificată prin </w:t>
      </w:r>
      <w:r w:rsidRPr="00884B00">
        <w:rPr>
          <w:b/>
          <w:noProof/>
        </w:rPr>
        <w:t>îmbunătățirea instrumentelor digitale.</w:t>
      </w:r>
      <w:r w:rsidRPr="00884B00">
        <w:rPr>
          <w:noProof/>
        </w:rPr>
        <w:t xml:space="preserve"> Ușurința de utilizare și funcționalitatea Portalului UE pentru oportunități de finanțare și ofertare au fost îmbunătățite în continuare și a fost introdusă noua aplicație pentru dispozitive mobile „EU funding &amp; me”, în cadrul unui proces bazat pe un sondaj realizat în rândul a 30 000 de solicitanți și beneficiari.</w:t>
      </w:r>
    </w:p>
    <w:p w14:paraId="627E2B06" w14:textId="1A8BFF66" w:rsidR="00517B47" w:rsidRPr="00884B00" w:rsidRDefault="0000695E" w:rsidP="00CE4E4E">
      <w:pPr>
        <w:pStyle w:val="Heading2"/>
        <w:rPr>
          <w:noProof/>
        </w:rPr>
      </w:pPr>
      <w:r w:rsidRPr="00884B00">
        <w:rPr>
          <w:noProof/>
        </w:rPr>
        <w:t>Orizont Europa – date de monitorizare</w:t>
      </w:r>
    </w:p>
    <w:p w14:paraId="56DB7D19" w14:textId="77777777" w:rsidR="00F96509" w:rsidRPr="00884B00" w:rsidRDefault="00F96509" w:rsidP="00CE4E4E">
      <w:pPr>
        <w:rPr>
          <w:b/>
          <w:bCs/>
          <w:noProof/>
        </w:rPr>
      </w:pPr>
      <w:r w:rsidRPr="00884B00">
        <w:rPr>
          <w:b/>
          <w:noProof/>
        </w:rPr>
        <w:t>Oportunități de finanțare</w:t>
      </w:r>
    </w:p>
    <w:p w14:paraId="6BA6FB64" w14:textId="790AA251" w:rsidR="00F96509" w:rsidRPr="00884B00" w:rsidRDefault="00F96509" w:rsidP="41A6BFF9">
      <w:pPr>
        <w:rPr>
          <w:i/>
          <w:iCs/>
          <w:noProof/>
        </w:rPr>
      </w:pPr>
      <w:r w:rsidRPr="00884B00">
        <w:rPr>
          <w:i/>
          <w:noProof/>
        </w:rPr>
        <w:t>Sursa: Sistemele interne de monitorizare ale Comisiei, 6.1.2026</w:t>
      </w:r>
    </w:p>
    <w:p w14:paraId="00070FBC" w14:textId="2F71A8C3" w:rsidR="00F96509" w:rsidRPr="00884B00" w:rsidRDefault="00F96509" w:rsidP="00CE4E4E">
      <w:pPr>
        <w:rPr>
          <w:noProof/>
        </w:rPr>
      </w:pPr>
      <w:r w:rsidRPr="00884B00">
        <w:rPr>
          <w:noProof/>
        </w:rPr>
        <w:t xml:space="preserve">Cele 787 de cereri de propuneri din cadrul programelor de lucru 2021-2025 au acoperit în total 3 061 de teme de cercetare, cu un buget de 67,9 miliarde EUR. </w:t>
      </w:r>
    </w:p>
    <w:p w14:paraId="29F3620F" w14:textId="36641849" w:rsidR="00F96509" w:rsidRPr="00884B00" w:rsidRDefault="00F96509" w:rsidP="00CE4E4E">
      <w:pPr>
        <w:rPr>
          <w:b/>
          <w:bCs/>
          <w:noProof/>
        </w:rPr>
      </w:pPr>
      <w:r w:rsidRPr="00884B00">
        <w:rPr>
          <w:b/>
          <w:noProof/>
        </w:rPr>
        <w:t>Propunerile de proiecte și ratele de succes</w:t>
      </w:r>
    </w:p>
    <w:p w14:paraId="7905AD38" w14:textId="6FD6365F" w:rsidR="00F96509" w:rsidRPr="00884B00" w:rsidRDefault="00F96509" w:rsidP="00CE4E4E">
      <w:pPr>
        <w:rPr>
          <w:i/>
          <w:iCs/>
          <w:noProof/>
        </w:rPr>
      </w:pPr>
      <w:r w:rsidRPr="00884B00">
        <w:rPr>
          <w:i/>
          <w:noProof/>
        </w:rPr>
        <w:t>Sursa: Sistemele interne de monitorizare ale Comisiei, 5.1.2026</w:t>
      </w:r>
    </w:p>
    <w:p w14:paraId="69D327AA" w14:textId="0BA91585" w:rsidR="00F96509" w:rsidRPr="00884B00" w:rsidRDefault="00F96509" w:rsidP="00CE4E4E">
      <w:pPr>
        <w:rPr>
          <w:noProof/>
        </w:rPr>
      </w:pPr>
      <w:r w:rsidRPr="00884B00">
        <w:rPr>
          <w:noProof/>
        </w:rPr>
        <w:t xml:space="preserve">Interesul pentru program a rămas puternic, înregistrându-se </w:t>
      </w:r>
      <w:r w:rsidRPr="00884B00">
        <w:rPr>
          <w:b/>
          <w:noProof/>
        </w:rPr>
        <w:t>148 884 de propuneri eligibile</w:t>
      </w:r>
      <w:r w:rsidRPr="00884B00">
        <w:rPr>
          <w:noProof/>
        </w:rPr>
        <w:t xml:space="preserve"> depuse</w:t>
      </w:r>
      <w:r w:rsidRPr="00884B00">
        <w:rPr>
          <w:rStyle w:val="FootnoteReference"/>
          <w:noProof/>
        </w:rPr>
        <w:footnoteReference w:id="2"/>
      </w:r>
      <w:r w:rsidRPr="00884B00">
        <w:rPr>
          <w:noProof/>
        </w:rPr>
        <w:t xml:space="preserve"> în perioada 2021-2025. Calitatea lor generală a rămas stabilă, peste jumătate dintre propunerile eligibile (57 %) atingând pragul minim al punctajului de evaluare. </w:t>
      </w:r>
    </w:p>
    <w:p w14:paraId="64A59B5E" w14:textId="307F6A98" w:rsidR="00F96509" w:rsidRPr="00884B00" w:rsidRDefault="00F96509" w:rsidP="00CE4E4E">
      <w:pPr>
        <w:rPr>
          <w:noProof/>
        </w:rPr>
      </w:pPr>
      <w:r w:rsidRPr="00884B00">
        <w:rPr>
          <w:noProof/>
        </w:rPr>
        <w:t xml:space="preserve">Până în ianuarie 2026, au fost selectate pentru finanțare 21 329 de propuneri, pentru o contribuție totală estimată a UE de 57,4 miliarde EUR. Rata de succes a propunerilor a scăzut la 14 % în comparație cu 15,3 % în ianuarie 2025, dar a rămas mai ridicată decât în cadrul programului Orizont 2020 în ansamblu (11,9 %). </w:t>
      </w:r>
    </w:p>
    <w:p w14:paraId="40465398" w14:textId="35AD0097" w:rsidR="00F96509" w:rsidRPr="00884B00" w:rsidRDefault="00F96509" w:rsidP="00CE4E4E">
      <w:pPr>
        <w:ind w:left="-20" w:right="-20"/>
        <w:rPr>
          <w:rFonts w:eastAsiaTheme="minorEastAsia"/>
          <w:noProof/>
        </w:rPr>
      </w:pPr>
      <w:r w:rsidRPr="00884B00">
        <w:rPr>
          <w:noProof/>
        </w:rPr>
        <w:t>Aproximativ 70 % din propunerile care au depășit pragul de finanțare nu au fost finanțate. Pentru finanțarea tuturor acestor propuneri prezentate în perioada 2021-2025 ar fi fost necesară o sumă suplimentară estimată la 118,5 miliarde EUR.</w:t>
      </w:r>
    </w:p>
    <w:p w14:paraId="6501BE04" w14:textId="77777777" w:rsidR="00F96509" w:rsidRPr="00884B00" w:rsidRDefault="00F96509" w:rsidP="00CE4E4E">
      <w:pPr>
        <w:rPr>
          <w:b/>
          <w:bCs/>
          <w:noProof/>
        </w:rPr>
      </w:pPr>
      <w:r w:rsidRPr="00884B00">
        <w:rPr>
          <w:b/>
          <w:noProof/>
        </w:rPr>
        <w:t>Proiecte finanțate</w:t>
      </w:r>
    </w:p>
    <w:p w14:paraId="0EE38A74" w14:textId="28E50689" w:rsidR="00F96509" w:rsidRPr="00884B00" w:rsidRDefault="009F4583" w:rsidP="41A6BFF9">
      <w:pPr>
        <w:rPr>
          <w:rFonts w:eastAsiaTheme="minorEastAsia"/>
          <w:noProof/>
        </w:rPr>
      </w:pPr>
      <w:r w:rsidRPr="00884B00">
        <w:rPr>
          <w:noProof/>
        </w:rPr>
        <w:t xml:space="preserve">La sfârșitul anului 2025, au fost acordate </w:t>
      </w:r>
      <w:r w:rsidRPr="00884B00">
        <w:rPr>
          <w:b/>
          <w:noProof/>
        </w:rPr>
        <w:t>52,8 miliarde EUR</w:t>
      </w:r>
      <w:r w:rsidRPr="00884B00">
        <w:rPr>
          <w:noProof/>
        </w:rPr>
        <w:t xml:space="preserve"> prin intermediul a </w:t>
      </w:r>
      <w:r w:rsidRPr="00884B00">
        <w:rPr>
          <w:b/>
          <w:noProof/>
        </w:rPr>
        <w:t>19 456 de granturi</w:t>
      </w:r>
      <w:r w:rsidRPr="00884B00">
        <w:rPr>
          <w:noProof/>
        </w:rPr>
        <w:t>. Valoarea medie a granturilor a rămas stabilă, la 2,7 milioane EUR, mai mare decât în cadrul programului Orizont 2020 (2,3 milioane EUR</w:t>
      </w:r>
      <w:r w:rsidRPr="00884B00">
        <w:rPr>
          <w:rStyle w:val="FootnoteReference"/>
          <w:rFonts w:eastAsiaTheme="minorEastAsia"/>
          <w:noProof/>
        </w:rPr>
        <w:footnoteReference w:id="3"/>
      </w:r>
      <w:r w:rsidRPr="00884B00">
        <w:rPr>
          <w:noProof/>
        </w:rPr>
        <w:t xml:space="preserve">), cu o medie de șase participanți per proiect. </w:t>
      </w:r>
    </w:p>
    <w:p w14:paraId="4A43464D" w14:textId="13550317" w:rsidR="00F96509" w:rsidRPr="00884B00" w:rsidRDefault="00F96509" w:rsidP="00CE4E4E">
      <w:pPr>
        <w:rPr>
          <w:noProof/>
        </w:rPr>
      </w:pPr>
      <w:r w:rsidRPr="00884B00">
        <w:rPr>
          <w:noProof/>
        </w:rPr>
        <w:t xml:space="preserve">Consiliul European pentru Inovare (CEI) include, de asemenea, un instrument de investiții de capital, </w:t>
      </w:r>
      <w:r w:rsidRPr="00884B00">
        <w:rPr>
          <w:b/>
          <w:noProof/>
        </w:rPr>
        <w:t>Fondul CEI</w:t>
      </w:r>
      <w:r w:rsidRPr="00884B00">
        <w:rPr>
          <w:noProof/>
        </w:rPr>
        <w:t>, destinat celor mai inovatoare start-upuri și întreprinderi în fază de extindere. Pe lângă cifrele prezentate în tabelul de mai jos, Fondul CEI a aprobat investiții de capital în valoare de peste 2,3 miliarde EUR pentru beneficiarii programului Orizont Europa, din care au fost plătite până în prezent 931,9 milioane EUR</w:t>
      </w:r>
      <w:r w:rsidRPr="00884B00">
        <w:rPr>
          <w:rStyle w:val="FootnoteReference"/>
          <w:noProof/>
        </w:rPr>
        <w:footnoteReference w:id="4"/>
      </w:r>
      <w:r w:rsidRPr="00884B00">
        <w:rPr>
          <w:noProof/>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992"/>
        <w:gridCol w:w="850"/>
        <w:gridCol w:w="1134"/>
        <w:gridCol w:w="1134"/>
        <w:gridCol w:w="993"/>
        <w:gridCol w:w="1134"/>
        <w:gridCol w:w="1417"/>
      </w:tblGrid>
      <w:tr w:rsidR="00A91F24" w:rsidRPr="00884B00" w14:paraId="2861E896" w14:textId="77777777" w:rsidTr="000361D6">
        <w:trPr>
          <w:trHeight w:val="246"/>
          <w:tblHeader/>
        </w:trPr>
        <w:tc>
          <w:tcPr>
            <w:tcW w:w="2553"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1ECE0BA" w14:textId="77777777" w:rsidR="00F96509" w:rsidRPr="00884B00" w:rsidRDefault="00F96509" w:rsidP="00CE4E4E">
            <w:pPr>
              <w:keepNext/>
              <w:rPr>
                <w:b/>
                <w:bCs/>
                <w:noProof/>
                <w:color w:val="FFFFFF"/>
                <w:sz w:val="16"/>
                <w:szCs w:val="16"/>
              </w:rPr>
            </w:pPr>
            <w:r w:rsidRPr="00884B00">
              <w:rPr>
                <w:b/>
                <w:noProof/>
                <w:color w:val="FFFFFF"/>
                <w:sz w:val="16"/>
              </w:rPr>
              <w:t>Partea programului</w:t>
            </w:r>
          </w:p>
        </w:tc>
        <w:tc>
          <w:tcPr>
            <w:tcW w:w="992"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4775F080" w14:textId="77777777" w:rsidR="00F96509" w:rsidRPr="00884B00" w:rsidRDefault="00F96509" w:rsidP="00CE4E4E">
            <w:pPr>
              <w:keepNext/>
              <w:rPr>
                <w:b/>
                <w:bCs/>
                <w:noProof/>
                <w:color w:val="FFFFFF"/>
                <w:sz w:val="16"/>
                <w:szCs w:val="16"/>
              </w:rPr>
            </w:pPr>
            <w:r w:rsidRPr="00884B00">
              <w:rPr>
                <w:b/>
                <w:noProof/>
                <w:color w:val="FFFFFF"/>
                <w:sz w:val="16"/>
              </w:rPr>
              <w:t>Propuneri eligibile</w:t>
            </w:r>
          </w:p>
        </w:tc>
        <w:tc>
          <w:tcPr>
            <w:tcW w:w="850"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298296E" w14:textId="1A799390" w:rsidR="00F96509" w:rsidRPr="00884B00" w:rsidRDefault="00BD4295" w:rsidP="00CE4E4E">
            <w:pPr>
              <w:keepNext/>
              <w:rPr>
                <w:b/>
                <w:bCs/>
                <w:noProof/>
                <w:color w:val="FFFFFF"/>
                <w:sz w:val="16"/>
                <w:szCs w:val="16"/>
              </w:rPr>
            </w:pPr>
            <w:r w:rsidRPr="00884B00">
              <w:rPr>
                <w:b/>
                <w:noProof/>
                <w:color w:val="FFFFFF"/>
                <w:sz w:val="16"/>
              </w:rPr>
              <w:t>Propuneri acceptate</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727A2D03" w14:textId="77777777" w:rsidR="00F96509" w:rsidRPr="00884B00" w:rsidRDefault="00F96509" w:rsidP="00CE4E4E">
            <w:pPr>
              <w:keepNext/>
              <w:rPr>
                <w:b/>
                <w:bCs/>
                <w:noProof/>
                <w:color w:val="FFFFFF"/>
                <w:sz w:val="16"/>
                <w:szCs w:val="16"/>
              </w:rPr>
            </w:pPr>
            <w:r w:rsidRPr="00884B00">
              <w:rPr>
                <w:b/>
                <w:noProof/>
                <w:color w:val="FFFFFF"/>
                <w:sz w:val="16"/>
              </w:rPr>
              <w:t>Rata de succes a propunerilor (% din cele eligibile)</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541DB3F1" w14:textId="77777777" w:rsidR="00F96509" w:rsidRPr="00884B00" w:rsidRDefault="00F96509" w:rsidP="00CE4E4E">
            <w:pPr>
              <w:keepNext/>
              <w:rPr>
                <w:b/>
                <w:bCs/>
                <w:noProof/>
                <w:color w:val="FFFFFF"/>
                <w:sz w:val="16"/>
                <w:szCs w:val="16"/>
              </w:rPr>
            </w:pPr>
            <w:r w:rsidRPr="00884B00">
              <w:rPr>
                <w:b/>
                <w:noProof/>
                <w:color w:val="FFFFFF"/>
                <w:sz w:val="16"/>
              </w:rPr>
              <w:t>Ponderea propunerilor de înaltă calitate (% din cele eligibile)</w:t>
            </w:r>
          </w:p>
          <w:p w14:paraId="128CF51A" w14:textId="77777777" w:rsidR="00F96509" w:rsidRPr="00884B00" w:rsidRDefault="00F96509" w:rsidP="00CE4E4E">
            <w:pPr>
              <w:keepNext/>
              <w:rPr>
                <w:b/>
                <w:bCs/>
                <w:noProof/>
                <w:color w:val="FFFFF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44A3A409" w14:textId="77777777" w:rsidR="00F96509" w:rsidRPr="00884B00" w:rsidRDefault="00F96509" w:rsidP="00CE4E4E">
            <w:pPr>
              <w:keepNext/>
              <w:rPr>
                <w:b/>
                <w:bCs/>
                <w:noProof/>
                <w:color w:val="FFFFFF"/>
                <w:sz w:val="16"/>
                <w:szCs w:val="16"/>
              </w:rPr>
            </w:pPr>
            <w:r w:rsidRPr="00884B00">
              <w:rPr>
                <w:b/>
                <w:noProof/>
                <w:color w:val="FFFFFF"/>
                <w:sz w:val="16"/>
              </w:rPr>
              <w:t>Granturi semnate</w:t>
            </w:r>
          </w:p>
        </w:tc>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54D8D2F2" w14:textId="52E9B3FB" w:rsidR="00F96509" w:rsidRPr="00884B00" w:rsidRDefault="00F96509" w:rsidP="00CE4E4E">
            <w:pPr>
              <w:keepNext/>
              <w:rPr>
                <w:b/>
                <w:bCs/>
                <w:noProof/>
                <w:color w:val="FFFFFF"/>
                <w:sz w:val="16"/>
                <w:szCs w:val="16"/>
              </w:rPr>
            </w:pPr>
            <w:r w:rsidRPr="00884B00">
              <w:rPr>
                <w:b/>
                <w:noProof/>
                <w:color w:val="FFFFFF"/>
                <w:sz w:val="16"/>
              </w:rPr>
              <w:t>Contribuția UE la granturile semnate (în milioane EUR)</w:t>
            </w:r>
          </w:p>
        </w:tc>
        <w:tc>
          <w:tcPr>
            <w:tcW w:w="1417"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1D217A6A" w14:textId="6AAA98FF" w:rsidR="00F96509" w:rsidRPr="00884B00" w:rsidRDefault="00F96509" w:rsidP="00CE4E4E">
            <w:pPr>
              <w:keepNext/>
              <w:rPr>
                <w:b/>
                <w:bCs/>
                <w:noProof/>
                <w:color w:val="FFFFFF"/>
                <w:sz w:val="16"/>
                <w:szCs w:val="16"/>
              </w:rPr>
            </w:pPr>
            <w:r w:rsidRPr="00884B00">
              <w:rPr>
                <w:b/>
                <w:noProof/>
                <w:color w:val="FFFFFF"/>
                <w:sz w:val="16"/>
              </w:rPr>
              <w:t xml:space="preserve">Valoarea medie a granturilor (în milioane EUR) </w:t>
            </w:r>
          </w:p>
        </w:tc>
      </w:tr>
      <w:tr w:rsidR="00456887" w:rsidRPr="00884B00" w14:paraId="46300CDC"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4F247F2F" w14:textId="77777777" w:rsidR="00F96509" w:rsidRPr="00884B00" w:rsidRDefault="00F96509" w:rsidP="00CE4E4E">
            <w:pPr>
              <w:rPr>
                <w:b/>
                <w:noProof/>
                <w:color w:val="000000"/>
              </w:rPr>
            </w:pPr>
            <w:r w:rsidRPr="00884B00">
              <w:rPr>
                <w:b/>
                <w:noProof/>
                <w:color w:val="000000"/>
              </w:rPr>
              <w:t>Pilonul 1 – Excelență științifică</w:t>
            </w:r>
          </w:p>
        </w:tc>
      </w:tr>
      <w:tr w:rsidR="005C3BF9" w:rsidRPr="00884B00" w14:paraId="177DD950" w14:textId="77777777">
        <w:trPr>
          <w:trHeight w:val="246"/>
        </w:trPr>
        <w:tc>
          <w:tcPr>
            <w:tcW w:w="2553" w:type="dxa"/>
            <w:tcBorders>
              <w:top w:val="single" w:sz="4" w:space="0" w:color="auto"/>
              <w:bottom w:val="single" w:sz="4" w:space="0" w:color="auto"/>
            </w:tcBorders>
            <w:noWrap/>
            <w:vAlign w:val="bottom"/>
            <w:hideMark/>
          </w:tcPr>
          <w:p w14:paraId="3C6A2525" w14:textId="77777777" w:rsidR="00F96509" w:rsidRPr="00884B00" w:rsidRDefault="00F96509" w:rsidP="00CE4E4E">
            <w:pPr>
              <w:rPr>
                <w:noProof/>
                <w:color w:val="000000"/>
              </w:rPr>
            </w:pPr>
            <w:r w:rsidRPr="00884B00">
              <w:rPr>
                <w:noProof/>
                <w:color w:val="000000"/>
              </w:rPr>
              <w:t>Consiliul European pentru Cercetare (CEC)</w:t>
            </w:r>
          </w:p>
        </w:tc>
        <w:tc>
          <w:tcPr>
            <w:tcW w:w="992" w:type="dxa"/>
            <w:tcBorders>
              <w:top w:val="single" w:sz="4" w:space="0" w:color="auto"/>
              <w:bottom w:val="single" w:sz="4" w:space="0" w:color="auto"/>
            </w:tcBorders>
            <w:noWrap/>
          </w:tcPr>
          <w:p w14:paraId="4F1FD262" w14:textId="77777777" w:rsidR="00F96509" w:rsidRPr="00884B00" w:rsidRDefault="00F96509" w:rsidP="00CE4E4E">
            <w:pPr>
              <w:rPr>
                <w:noProof/>
                <w:color w:val="000000"/>
              </w:rPr>
            </w:pPr>
            <w:r w:rsidRPr="00884B00">
              <w:rPr>
                <w:noProof/>
              </w:rPr>
              <w:t>41 431</w:t>
            </w:r>
          </w:p>
        </w:tc>
        <w:tc>
          <w:tcPr>
            <w:tcW w:w="850" w:type="dxa"/>
            <w:tcBorders>
              <w:top w:val="single" w:sz="4" w:space="0" w:color="auto"/>
              <w:bottom w:val="single" w:sz="4" w:space="0" w:color="auto"/>
            </w:tcBorders>
            <w:noWrap/>
          </w:tcPr>
          <w:p w14:paraId="12D6E08E" w14:textId="77777777" w:rsidR="00F96509" w:rsidRPr="00884B00" w:rsidRDefault="00F96509" w:rsidP="00CE4E4E">
            <w:pPr>
              <w:rPr>
                <w:noProof/>
                <w:color w:val="000000"/>
              </w:rPr>
            </w:pPr>
            <w:r w:rsidRPr="00884B00">
              <w:rPr>
                <w:noProof/>
              </w:rPr>
              <w:t>5 781</w:t>
            </w:r>
          </w:p>
        </w:tc>
        <w:tc>
          <w:tcPr>
            <w:tcW w:w="1134" w:type="dxa"/>
            <w:tcBorders>
              <w:top w:val="single" w:sz="4" w:space="0" w:color="auto"/>
              <w:bottom w:val="single" w:sz="4" w:space="0" w:color="auto"/>
            </w:tcBorders>
            <w:noWrap/>
          </w:tcPr>
          <w:p w14:paraId="58717117" w14:textId="77777777" w:rsidR="00F96509" w:rsidRPr="00884B00" w:rsidRDefault="00F96509" w:rsidP="00CE4E4E">
            <w:pPr>
              <w:rPr>
                <w:noProof/>
                <w:color w:val="000000"/>
              </w:rPr>
            </w:pPr>
            <w:r w:rsidRPr="00884B00">
              <w:rPr>
                <w:noProof/>
              </w:rPr>
              <w:t>14 %</w:t>
            </w:r>
          </w:p>
        </w:tc>
        <w:tc>
          <w:tcPr>
            <w:tcW w:w="1134" w:type="dxa"/>
            <w:tcBorders>
              <w:top w:val="single" w:sz="4" w:space="0" w:color="auto"/>
              <w:left w:val="nil"/>
              <w:bottom w:val="single" w:sz="4" w:space="0" w:color="auto"/>
              <w:right w:val="single" w:sz="4" w:space="0" w:color="auto"/>
            </w:tcBorders>
            <w:noWrap/>
          </w:tcPr>
          <w:p w14:paraId="130C6077" w14:textId="77777777" w:rsidR="00F96509" w:rsidRPr="00884B00" w:rsidRDefault="00F96509" w:rsidP="00CE4E4E">
            <w:pPr>
              <w:rPr>
                <w:noProof/>
                <w:color w:val="000000"/>
              </w:rPr>
            </w:pPr>
            <w:r w:rsidRPr="00884B00">
              <w:rPr>
                <w:noProof/>
              </w:rPr>
              <w:t>27 %</w:t>
            </w:r>
          </w:p>
        </w:tc>
        <w:tc>
          <w:tcPr>
            <w:tcW w:w="993" w:type="dxa"/>
            <w:tcBorders>
              <w:top w:val="single" w:sz="4" w:space="0" w:color="auto"/>
              <w:left w:val="nil"/>
              <w:bottom w:val="single" w:sz="4" w:space="0" w:color="auto"/>
              <w:right w:val="single" w:sz="4" w:space="0" w:color="auto"/>
            </w:tcBorders>
          </w:tcPr>
          <w:p w14:paraId="5CDD784A" w14:textId="77777777" w:rsidR="00F96509" w:rsidRPr="00884B00" w:rsidRDefault="00F96509" w:rsidP="00CE4E4E">
            <w:pPr>
              <w:rPr>
                <w:noProof/>
                <w:color w:val="000000"/>
              </w:rPr>
            </w:pPr>
            <w:r w:rsidRPr="00884B00">
              <w:rPr>
                <w:noProof/>
              </w:rPr>
              <w:t>5 651</w:t>
            </w:r>
          </w:p>
        </w:tc>
        <w:tc>
          <w:tcPr>
            <w:tcW w:w="1134" w:type="dxa"/>
            <w:tcBorders>
              <w:top w:val="single" w:sz="4" w:space="0" w:color="auto"/>
              <w:left w:val="single" w:sz="4" w:space="0" w:color="auto"/>
              <w:bottom w:val="single" w:sz="4" w:space="0" w:color="auto"/>
              <w:right w:val="single" w:sz="4" w:space="0" w:color="auto"/>
            </w:tcBorders>
          </w:tcPr>
          <w:p w14:paraId="375C9E87" w14:textId="77777777" w:rsidR="00F96509" w:rsidRPr="00884B00" w:rsidRDefault="00F96509" w:rsidP="00CE4E4E">
            <w:pPr>
              <w:rPr>
                <w:noProof/>
                <w:color w:val="000000"/>
              </w:rPr>
            </w:pPr>
            <w:r w:rsidRPr="00884B00">
              <w:rPr>
                <w:noProof/>
              </w:rPr>
              <w:t>10 199</w:t>
            </w:r>
          </w:p>
        </w:tc>
        <w:tc>
          <w:tcPr>
            <w:tcW w:w="1417" w:type="dxa"/>
            <w:tcBorders>
              <w:top w:val="single" w:sz="4" w:space="0" w:color="auto"/>
              <w:left w:val="single" w:sz="4" w:space="0" w:color="auto"/>
              <w:bottom w:val="single" w:sz="4" w:space="0" w:color="auto"/>
              <w:right w:val="single" w:sz="4" w:space="0" w:color="auto"/>
            </w:tcBorders>
          </w:tcPr>
          <w:p w14:paraId="773A6D3E" w14:textId="77777777" w:rsidR="00F96509" w:rsidRPr="00884B00" w:rsidRDefault="00F96509" w:rsidP="00CE4E4E">
            <w:pPr>
              <w:rPr>
                <w:noProof/>
                <w:color w:val="000000"/>
              </w:rPr>
            </w:pPr>
            <w:r w:rsidRPr="00884B00">
              <w:rPr>
                <w:noProof/>
              </w:rPr>
              <w:t>1,8</w:t>
            </w:r>
          </w:p>
        </w:tc>
      </w:tr>
      <w:tr w:rsidR="005C3BF9" w:rsidRPr="00884B00" w14:paraId="6BF5D048" w14:textId="77777777">
        <w:trPr>
          <w:trHeight w:val="246"/>
        </w:trPr>
        <w:tc>
          <w:tcPr>
            <w:tcW w:w="2553" w:type="dxa"/>
            <w:tcBorders>
              <w:top w:val="single" w:sz="4" w:space="0" w:color="auto"/>
              <w:bottom w:val="single" w:sz="4" w:space="0" w:color="auto"/>
            </w:tcBorders>
            <w:noWrap/>
            <w:vAlign w:val="bottom"/>
            <w:hideMark/>
          </w:tcPr>
          <w:p w14:paraId="52069A38" w14:textId="77777777" w:rsidR="00F96509" w:rsidRPr="00884B00" w:rsidRDefault="00F96509" w:rsidP="00CE4E4E">
            <w:pPr>
              <w:rPr>
                <w:noProof/>
                <w:color w:val="000000"/>
              </w:rPr>
            </w:pPr>
            <w:r w:rsidRPr="00884B00">
              <w:rPr>
                <w:noProof/>
                <w:color w:val="000000"/>
              </w:rPr>
              <w:t>Acțiunile Marie Skłodowska-Curie (MSCA)</w:t>
            </w:r>
          </w:p>
        </w:tc>
        <w:tc>
          <w:tcPr>
            <w:tcW w:w="992" w:type="dxa"/>
            <w:tcBorders>
              <w:top w:val="single" w:sz="4" w:space="0" w:color="auto"/>
              <w:bottom w:val="single" w:sz="4" w:space="0" w:color="auto"/>
            </w:tcBorders>
            <w:noWrap/>
          </w:tcPr>
          <w:p w14:paraId="62572D1C" w14:textId="77777777" w:rsidR="00F96509" w:rsidRPr="00884B00" w:rsidRDefault="00F96509" w:rsidP="00CE4E4E">
            <w:pPr>
              <w:rPr>
                <w:noProof/>
                <w:color w:val="000000"/>
              </w:rPr>
            </w:pPr>
            <w:r w:rsidRPr="00884B00">
              <w:rPr>
                <w:noProof/>
              </w:rPr>
              <w:t>56 730</w:t>
            </w:r>
          </w:p>
        </w:tc>
        <w:tc>
          <w:tcPr>
            <w:tcW w:w="850" w:type="dxa"/>
            <w:tcBorders>
              <w:top w:val="single" w:sz="4" w:space="0" w:color="auto"/>
              <w:bottom w:val="single" w:sz="4" w:space="0" w:color="auto"/>
            </w:tcBorders>
            <w:noWrap/>
          </w:tcPr>
          <w:p w14:paraId="456A720C" w14:textId="77777777" w:rsidR="00F96509" w:rsidRPr="00884B00" w:rsidRDefault="00F96509" w:rsidP="00CE4E4E">
            <w:pPr>
              <w:rPr>
                <w:noProof/>
                <w:color w:val="000000"/>
              </w:rPr>
            </w:pPr>
            <w:r w:rsidRPr="00884B00">
              <w:rPr>
                <w:noProof/>
              </w:rPr>
              <w:t>8 152</w:t>
            </w:r>
          </w:p>
        </w:tc>
        <w:tc>
          <w:tcPr>
            <w:tcW w:w="1134" w:type="dxa"/>
            <w:tcBorders>
              <w:top w:val="single" w:sz="4" w:space="0" w:color="auto"/>
              <w:bottom w:val="single" w:sz="4" w:space="0" w:color="auto"/>
            </w:tcBorders>
            <w:noWrap/>
          </w:tcPr>
          <w:p w14:paraId="1FA61F43" w14:textId="77777777" w:rsidR="00F96509" w:rsidRPr="00884B00" w:rsidRDefault="00F96509" w:rsidP="00CE4E4E">
            <w:pPr>
              <w:rPr>
                <w:noProof/>
                <w:color w:val="000000"/>
              </w:rPr>
            </w:pPr>
            <w:r w:rsidRPr="00884B00">
              <w:rPr>
                <w:noProof/>
              </w:rPr>
              <w:t>14 %</w:t>
            </w:r>
          </w:p>
        </w:tc>
        <w:tc>
          <w:tcPr>
            <w:tcW w:w="1134" w:type="dxa"/>
            <w:tcBorders>
              <w:top w:val="single" w:sz="4" w:space="0" w:color="auto"/>
              <w:left w:val="nil"/>
              <w:bottom w:val="single" w:sz="4" w:space="0" w:color="auto"/>
              <w:right w:val="single" w:sz="4" w:space="0" w:color="auto"/>
            </w:tcBorders>
            <w:noWrap/>
          </w:tcPr>
          <w:p w14:paraId="430A0C34" w14:textId="77777777" w:rsidR="00F96509" w:rsidRPr="00884B00" w:rsidRDefault="00F96509" w:rsidP="00CE4E4E">
            <w:pPr>
              <w:rPr>
                <w:noProof/>
                <w:color w:val="000000"/>
              </w:rPr>
            </w:pPr>
            <w:r w:rsidRPr="00884B00">
              <w:rPr>
                <w:noProof/>
              </w:rPr>
              <w:t>82 %</w:t>
            </w:r>
          </w:p>
        </w:tc>
        <w:tc>
          <w:tcPr>
            <w:tcW w:w="993" w:type="dxa"/>
            <w:tcBorders>
              <w:top w:val="single" w:sz="4" w:space="0" w:color="auto"/>
              <w:left w:val="nil"/>
              <w:bottom w:val="single" w:sz="4" w:space="0" w:color="auto"/>
              <w:right w:val="single" w:sz="4" w:space="0" w:color="auto"/>
            </w:tcBorders>
          </w:tcPr>
          <w:p w14:paraId="73830FF0" w14:textId="77777777" w:rsidR="00F96509" w:rsidRPr="00884B00" w:rsidRDefault="00F96509" w:rsidP="00CE4E4E">
            <w:pPr>
              <w:rPr>
                <w:noProof/>
                <w:color w:val="000000"/>
              </w:rPr>
            </w:pPr>
            <w:r w:rsidRPr="00884B00">
              <w:rPr>
                <w:noProof/>
              </w:rPr>
              <w:t>6 692</w:t>
            </w:r>
          </w:p>
        </w:tc>
        <w:tc>
          <w:tcPr>
            <w:tcW w:w="1134" w:type="dxa"/>
            <w:tcBorders>
              <w:top w:val="single" w:sz="4" w:space="0" w:color="auto"/>
              <w:left w:val="single" w:sz="4" w:space="0" w:color="auto"/>
              <w:bottom w:val="single" w:sz="4" w:space="0" w:color="auto"/>
              <w:right w:val="single" w:sz="4" w:space="0" w:color="auto"/>
            </w:tcBorders>
          </w:tcPr>
          <w:p w14:paraId="06075D5B" w14:textId="77777777" w:rsidR="00F96509" w:rsidRPr="00884B00" w:rsidRDefault="00F96509" w:rsidP="00CE4E4E">
            <w:pPr>
              <w:rPr>
                <w:noProof/>
                <w:color w:val="000000"/>
              </w:rPr>
            </w:pPr>
            <w:r w:rsidRPr="00884B00">
              <w:rPr>
                <w:noProof/>
              </w:rPr>
              <w:t>3 893</w:t>
            </w:r>
          </w:p>
        </w:tc>
        <w:tc>
          <w:tcPr>
            <w:tcW w:w="1417" w:type="dxa"/>
            <w:tcBorders>
              <w:top w:val="single" w:sz="4" w:space="0" w:color="auto"/>
              <w:left w:val="single" w:sz="4" w:space="0" w:color="auto"/>
              <w:bottom w:val="single" w:sz="4" w:space="0" w:color="auto"/>
              <w:right w:val="single" w:sz="4" w:space="0" w:color="auto"/>
            </w:tcBorders>
          </w:tcPr>
          <w:p w14:paraId="63952693" w14:textId="77777777" w:rsidR="00F96509" w:rsidRPr="00884B00" w:rsidRDefault="00F96509" w:rsidP="00CE4E4E">
            <w:pPr>
              <w:rPr>
                <w:noProof/>
                <w:color w:val="000000"/>
              </w:rPr>
            </w:pPr>
            <w:r w:rsidRPr="00884B00">
              <w:rPr>
                <w:noProof/>
              </w:rPr>
              <w:t>0,6</w:t>
            </w:r>
          </w:p>
        </w:tc>
      </w:tr>
      <w:tr w:rsidR="005C3BF9" w:rsidRPr="00884B00" w14:paraId="19FEA088" w14:textId="77777777">
        <w:trPr>
          <w:trHeight w:val="246"/>
        </w:trPr>
        <w:tc>
          <w:tcPr>
            <w:tcW w:w="2553" w:type="dxa"/>
            <w:tcBorders>
              <w:top w:val="single" w:sz="4" w:space="0" w:color="auto"/>
              <w:bottom w:val="single" w:sz="4" w:space="0" w:color="auto"/>
            </w:tcBorders>
            <w:noWrap/>
            <w:vAlign w:val="bottom"/>
            <w:hideMark/>
          </w:tcPr>
          <w:p w14:paraId="50445629" w14:textId="77777777" w:rsidR="00F96509" w:rsidRPr="00884B00" w:rsidRDefault="00F96509" w:rsidP="00CE4E4E">
            <w:pPr>
              <w:rPr>
                <w:noProof/>
                <w:color w:val="000000"/>
              </w:rPr>
            </w:pPr>
            <w:r w:rsidRPr="00884B00">
              <w:rPr>
                <w:noProof/>
                <w:color w:val="000000"/>
              </w:rPr>
              <w:t>Infrastructuri de cercetare</w:t>
            </w:r>
          </w:p>
        </w:tc>
        <w:tc>
          <w:tcPr>
            <w:tcW w:w="992" w:type="dxa"/>
            <w:tcBorders>
              <w:top w:val="single" w:sz="4" w:space="0" w:color="auto"/>
              <w:bottom w:val="single" w:sz="4" w:space="0" w:color="auto"/>
            </w:tcBorders>
            <w:noWrap/>
          </w:tcPr>
          <w:p w14:paraId="68AA5469" w14:textId="77777777" w:rsidR="00F96509" w:rsidRPr="00884B00" w:rsidRDefault="00F96509" w:rsidP="00CE4E4E">
            <w:pPr>
              <w:rPr>
                <w:noProof/>
                <w:color w:val="000000"/>
              </w:rPr>
            </w:pPr>
            <w:r w:rsidRPr="00884B00">
              <w:rPr>
                <w:noProof/>
              </w:rPr>
              <w:t>402</w:t>
            </w:r>
          </w:p>
        </w:tc>
        <w:tc>
          <w:tcPr>
            <w:tcW w:w="850" w:type="dxa"/>
            <w:tcBorders>
              <w:top w:val="single" w:sz="4" w:space="0" w:color="auto"/>
              <w:bottom w:val="single" w:sz="4" w:space="0" w:color="auto"/>
            </w:tcBorders>
            <w:noWrap/>
          </w:tcPr>
          <w:p w14:paraId="69752119" w14:textId="77777777" w:rsidR="00F96509" w:rsidRPr="00884B00" w:rsidRDefault="00F96509" w:rsidP="00CE4E4E">
            <w:pPr>
              <w:rPr>
                <w:noProof/>
                <w:color w:val="000000"/>
              </w:rPr>
            </w:pPr>
            <w:r w:rsidRPr="00884B00">
              <w:rPr>
                <w:noProof/>
              </w:rPr>
              <w:t>170</w:t>
            </w:r>
          </w:p>
        </w:tc>
        <w:tc>
          <w:tcPr>
            <w:tcW w:w="1134" w:type="dxa"/>
            <w:tcBorders>
              <w:top w:val="single" w:sz="4" w:space="0" w:color="auto"/>
              <w:bottom w:val="single" w:sz="4" w:space="0" w:color="auto"/>
            </w:tcBorders>
            <w:noWrap/>
          </w:tcPr>
          <w:p w14:paraId="4D83BDEF" w14:textId="77777777" w:rsidR="00F96509" w:rsidRPr="00884B00" w:rsidRDefault="00F96509" w:rsidP="00CE4E4E">
            <w:pPr>
              <w:rPr>
                <w:noProof/>
                <w:color w:val="000000"/>
              </w:rPr>
            </w:pPr>
            <w:r w:rsidRPr="00884B00">
              <w:rPr>
                <w:noProof/>
              </w:rPr>
              <w:t>42 %</w:t>
            </w:r>
          </w:p>
        </w:tc>
        <w:tc>
          <w:tcPr>
            <w:tcW w:w="1134" w:type="dxa"/>
            <w:tcBorders>
              <w:top w:val="single" w:sz="4" w:space="0" w:color="auto"/>
              <w:left w:val="nil"/>
              <w:bottom w:val="single" w:sz="4" w:space="0" w:color="auto"/>
              <w:right w:val="single" w:sz="4" w:space="0" w:color="auto"/>
            </w:tcBorders>
            <w:noWrap/>
          </w:tcPr>
          <w:p w14:paraId="521A4B58" w14:textId="77777777" w:rsidR="00F96509" w:rsidRPr="00884B00" w:rsidRDefault="00F96509" w:rsidP="00CE4E4E">
            <w:pPr>
              <w:rPr>
                <w:noProof/>
                <w:color w:val="000000"/>
              </w:rPr>
            </w:pPr>
            <w:r w:rsidRPr="00884B00">
              <w:rPr>
                <w:noProof/>
              </w:rPr>
              <w:t>86 %</w:t>
            </w:r>
          </w:p>
        </w:tc>
        <w:tc>
          <w:tcPr>
            <w:tcW w:w="993" w:type="dxa"/>
            <w:tcBorders>
              <w:top w:val="single" w:sz="4" w:space="0" w:color="auto"/>
              <w:left w:val="nil"/>
              <w:bottom w:val="single" w:sz="4" w:space="0" w:color="auto"/>
              <w:right w:val="single" w:sz="4" w:space="0" w:color="auto"/>
            </w:tcBorders>
          </w:tcPr>
          <w:p w14:paraId="55C960C9" w14:textId="77777777" w:rsidR="00F96509" w:rsidRPr="00884B00" w:rsidRDefault="00F96509" w:rsidP="00CE4E4E">
            <w:pPr>
              <w:rPr>
                <w:noProof/>
                <w:color w:val="000000"/>
              </w:rPr>
            </w:pPr>
            <w:r w:rsidRPr="00884B00">
              <w:rPr>
                <w:noProof/>
              </w:rPr>
              <w:t>179</w:t>
            </w:r>
          </w:p>
        </w:tc>
        <w:tc>
          <w:tcPr>
            <w:tcW w:w="1134" w:type="dxa"/>
            <w:tcBorders>
              <w:top w:val="single" w:sz="4" w:space="0" w:color="auto"/>
              <w:left w:val="single" w:sz="4" w:space="0" w:color="auto"/>
              <w:bottom w:val="single" w:sz="4" w:space="0" w:color="auto"/>
              <w:right w:val="single" w:sz="4" w:space="0" w:color="auto"/>
            </w:tcBorders>
          </w:tcPr>
          <w:p w14:paraId="2992D57D" w14:textId="77777777" w:rsidR="00F96509" w:rsidRPr="00884B00" w:rsidRDefault="00F96509" w:rsidP="00CE4E4E">
            <w:pPr>
              <w:rPr>
                <w:noProof/>
                <w:color w:val="000000"/>
              </w:rPr>
            </w:pPr>
            <w:r w:rsidRPr="00884B00">
              <w:rPr>
                <w:noProof/>
              </w:rPr>
              <w:t>1 230</w:t>
            </w:r>
          </w:p>
        </w:tc>
        <w:tc>
          <w:tcPr>
            <w:tcW w:w="1417" w:type="dxa"/>
            <w:tcBorders>
              <w:top w:val="single" w:sz="4" w:space="0" w:color="auto"/>
              <w:left w:val="single" w:sz="4" w:space="0" w:color="auto"/>
              <w:bottom w:val="single" w:sz="4" w:space="0" w:color="auto"/>
              <w:right w:val="single" w:sz="4" w:space="0" w:color="auto"/>
            </w:tcBorders>
          </w:tcPr>
          <w:p w14:paraId="0114E76B" w14:textId="77777777" w:rsidR="00F96509" w:rsidRPr="00884B00" w:rsidRDefault="00F96509" w:rsidP="00CE4E4E">
            <w:pPr>
              <w:rPr>
                <w:noProof/>
                <w:color w:val="000000"/>
              </w:rPr>
            </w:pPr>
            <w:r w:rsidRPr="00884B00">
              <w:rPr>
                <w:noProof/>
              </w:rPr>
              <w:t>6,9</w:t>
            </w:r>
          </w:p>
        </w:tc>
      </w:tr>
      <w:tr w:rsidR="00456887" w:rsidRPr="00884B00" w14:paraId="25B20E35"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58613EC6" w14:textId="77777777" w:rsidR="00F96509" w:rsidRPr="00884B00" w:rsidRDefault="00F96509" w:rsidP="00CE4E4E">
            <w:pPr>
              <w:rPr>
                <w:b/>
                <w:noProof/>
                <w:color w:val="000000"/>
              </w:rPr>
            </w:pPr>
            <w:r w:rsidRPr="00884B00">
              <w:rPr>
                <w:b/>
                <w:noProof/>
                <w:color w:val="000000"/>
              </w:rPr>
              <w:t>Pilonul II – Provocări globale și competitivitate industrială europeană</w:t>
            </w:r>
          </w:p>
        </w:tc>
      </w:tr>
      <w:tr w:rsidR="005C3BF9" w:rsidRPr="00884B00" w14:paraId="36A9A4E8" w14:textId="77777777">
        <w:trPr>
          <w:trHeight w:val="246"/>
        </w:trPr>
        <w:tc>
          <w:tcPr>
            <w:tcW w:w="2553" w:type="dxa"/>
            <w:tcBorders>
              <w:top w:val="single" w:sz="4" w:space="0" w:color="auto"/>
              <w:bottom w:val="single" w:sz="4" w:space="0" w:color="auto"/>
            </w:tcBorders>
            <w:noWrap/>
            <w:vAlign w:val="bottom"/>
            <w:hideMark/>
          </w:tcPr>
          <w:p w14:paraId="3AD7C200" w14:textId="2DBC4F4C" w:rsidR="00F96509" w:rsidRPr="00884B00" w:rsidRDefault="00F96509" w:rsidP="00CE4E4E">
            <w:pPr>
              <w:rPr>
                <w:noProof/>
                <w:color w:val="000000"/>
              </w:rPr>
            </w:pPr>
            <w:r w:rsidRPr="00884B00">
              <w:rPr>
                <w:noProof/>
                <w:color w:val="000000"/>
              </w:rPr>
              <w:t>Clusterul 1 – Sănătate</w:t>
            </w:r>
          </w:p>
        </w:tc>
        <w:tc>
          <w:tcPr>
            <w:tcW w:w="992" w:type="dxa"/>
            <w:tcBorders>
              <w:top w:val="single" w:sz="4" w:space="0" w:color="auto"/>
              <w:bottom w:val="single" w:sz="4" w:space="0" w:color="auto"/>
            </w:tcBorders>
            <w:noWrap/>
          </w:tcPr>
          <w:p w14:paraId="023A3D11" w14:textId="77777777" w:rsidR="00F96509" w:rsidRPr="00884B00" w:rsidRDefault="00F96509" w:rsidP="00CE4E4E">
            <w:pPr>
              <w:rPr>
                <w:noProof/>
                <w:color w:val="000000"/>
              </w:rPr>
            </w:pPr>
            <w:r w:rsidRPr="00884B00">
              <w:rPr>
                <w:noProof/>
              </w:rPr>
              <w:t>2 753</w:t>
            </w:r>
          </w:p>
        </w:tc>
        <w:tc>
          <w:tcPr>
            <w:tcW w:w="850" w:type="dxa"/>
            <w:tcBorders>
              <w:top w:val="single" w:sz="4" w:space="0" w:color="auto"/>
              <w:bottom w:val="single" w:sz="4" w:space="0" w:color="auto"/>
            </w:tcBorders>
            <w:noWrap/>
          </w:tcPr>
          <w:p w14:paraId="0F455818" w14:textId="77777777" w:rsidR="00F96509" w:rsidRPr="00884B00" w:rsidRDefault="00F96509" w:rsidP="00CE4E4E">
            <w:pPr>
              <w:rPr>
                <w:noProof/>
                <w:color w:val="000000"/>
              </w:rPr>
            </w:pPr>
            <w:r w:rsidRPr="00884B00">
              <w:rPr>
                <w:noProof/>
              </w:rPr>
              <w:t>640</w:t>
            </w:r>
          </w:p>
        </w:tc>
        <w:tc>
          <w:tcPr>
            <w:tcW w:w="1134" w:type="dxa"/>
            <w:tcBorders>
              <w:top w:val="single" w:sz="4" w:space="0" w:color="auto"/>
              <w:bottom w:val="single" w:sz="4" w:space="0" w:color="auto"/>
            </w:tcBorders>
            <w:noWrap/>
          </w:tcPr>
          <w:p w14:paraId="72515CEC" w14:textId="77777777" w:rsidR="00F96509" w:rsidRPr="00884B00" w:rsidRDefault="00F96509" w:rsidP="00CE4E4E">
            <w:pPr>
              <w:rPr>
                <w:noProof/>
                <w:color w:val="000000"/>
              </w:rPr>
            </w:pPr>
            <w:r w:rsidRPr="00884B00">
              <w:rPr>
                <w:noProof/>
              </w:rPr>
              <w:t>23 %</w:t>
            </w:r>
          </w:p>
        </w:tc>
        <w:tc>
          <w:tcPr>
            <w:tcW w:w="1134" w:type="dxa"/>
            <w:tcBorders>
              <w:top w:val="single" w:sz="4" w:space="0" w:color="auto"/>
              <w:left w:val="nil"/>
              <w:bottom w:val="single" w:sz="4" w:space="0" w:color="auto"/>
              <w:right w:val="single" w:sz="4" w:space="0" w:color="auto"/>
            </w:tcBorders>
            <w:noWrap/>
          </w:tcPr>
          <w:p w14:paraId="3666B02A" w14:textId="77777777" w:rsidR="00F96509" w:rsidRPr="00884B00" w:rsidRDefault="00F96509" w:rsidP="00CE4E4E">
            <w:pPr>
              <w:rPr>
                <w:noProof/>
                <w:color w:val="000000"/>
              </w:rPr>
            </w:pPr>
            <w:r w:rsidRPr="00884B00">
              <w:rPr>
                <w:noProof/>
              </w:rPr>
              <w:t>55 %</w:t>
            </w:r>
          </w:p>
        </w:tc>
        <w:tc>
          <w:tcPr>
            <w:tcW w:w="993" w:type="dxa"/>
            <w:tcBorders>
              <w:top w:val="single" w:sz="4" w:space="0" w:color="auto"/>
              <w:left w:val="nil"/>
              <w:bottom w:val="single" w:sz="4" w:space="0" w:color="auto"/>
              <w:right w:val="single" w:sz="4" w:space="0" w:color="auto"/>
            </w:tcBorders>
          </w:tcPr>
          <w:p w14:paraId="1C80FA6D" w14:textId="77777777" w:rsidR="00F96509" w:rsidRPr="00884B00" w:rsidRDefault="00F96509" w:rsidP="00CE4E4E">
            <w:pPr>
              <w:rPr>
                <w:noProof/>
                <w:color w:val="000000"/>
              </w:rPr>
            </w:pPr>
            <w:r w:rsidRPr="00884B00">
              <w:rPr>
                <w:noProof/>
              </w:rPr>
              <w:t>657</w:t>
            </w:r>
          </w:p>
        </w:tc>
        <w:tc>
          <w:tcPr>
            <w:tcW w:w="1134" w:type="dxa"/>
            <w:tcBorders>
              <w:top w:val="single" w:sz="4" w:space="0" w:color="auto"/>
              <w:left w:val="single" w:sz="4" w:space="0" w:color="auto"/>
              <w:bottom w:val="single" w:sz="4" w:space="0" w:color="auto"/>
              <w:right w:val="single" w:sz="4" w:space="0" w:color="auto"/>
            </w:tcBorders>
          </w:tcPr>
          <w:p w14:paraId="1B13DFCC" w14:textId="77777777" w:rsidR="00F96509" w:rsidRPr="00884B00" w:rsidRDefault="00F96509" w:rsidP="00CE4E4E">
            <w:pPr>
              <w:rPr>
                <w:noProof/>
                <w:color w:val="000000"/>
              </w:rPr>
            </w:pPr>
            <w:r w:rsidRPr="00884B00">
              <w:rPr>
                <w:noProof/>
              </w:rPr>
              <w:t>5 269</w:t>
            </w:r>
          </w:p>
        </w:tc>
        <w:tc>
          <w:tcPr>
            <w:tcW w:w="1417" w:type="dxa"/>
            <w:tcBorders>
              <w:top w:val="single" w:sz="4" w:space="0" w:color="auto"/>
              <w:left w:val="single" w:sz="4" w:space="0" w:color="auto"/>
              <w:bottom w:val="single" w:sz="4" w:space="0" w:color="auto"/>
              <w:right w:val="single" w:sz="4" w:space="0" w:color="auto"/>
            </w:tcBorders>
          </w:tcPr>
          <w:p w14:paraId="647D516D" w14:textId="77777777" w:rsidR="00F96509" w:rsidRPr="00884B00" w:rsidRDefault="00F96509" w:rsidP="00CE4E4E">
            <w:pPr>
              <w:rPr>
                <w:noProof/>
                <w:color w:val="000000"/>
              </w:rPr>
            </w:pPr>
            <w:r w:rsidRPr="00884B00">
              <w:rPr>
                <w:noProof/>
              </w:rPr>
              <w:t>8</w:t>
            </w:r>
          </w:p>
        </w:tc>
      </w:tr>
      <w:tr w:rsidR="005C3BF9" w:rsidRPr="00884B00" w14:paraId="64A77915" w14:textId="77777777">
        <w:trPr>
          <w:trHeight w:val="246"/>
        </w:trPr>
        <w:tc>
          <w:tcPr>
            <w:tcW w:w="2553" w:type="dxa"/>
            <w:tcBorders>
              <w:top w:val="single" w:sz="4" w:space="0" w:color="auto"/>
              <w:bottom w:val="single" w:sz="4" w:space="0" w:color="auto"/>
            </w:tcBorders>
            <w:noWrap/>
            <w:vAlign w:val="bottom"/>
            <w:hideMark/>
          </w:tcPr>
          <w:p w14:paraId="252817BF" w14:textId="2C3AD63A" w:rsidR="00F96509" w:rsidRPr="00884B00" w:rsidRDefault="00F96509" w:rsidP="00CE4E4E">
            <w:pPr>
              <w:rPr>
                <w:noProof/>
                <w:color w:val="000000"/>
              </w:rPr>
            </w:pPr>
            <w:r w:rsidRPr="00884B00">
              <w:rPr>
                <w:noProof/>
                <w:color w:val="000000"/>
              </w:rPr>
              <w:t>Clusterul 2 – Cultură, creativitate și societate favorabilă incluziunii</w:t>
            </w:r>
          </w:p>
        </w:tc>
        <w:tc>
          <w:tcPr>
            <w:tcW w:w="992" w:type="dxa"/>
            <w:tcBorders>
              <w:top w:val="single" w:sz="4" w:space="0" w:color="auto"/>
              <w:bottom w:val="single" w:sz="4" w:space="0" w:color="auto"/>
            </w:tcBorders>
            <w:noWrap/>
          </w:tcPr>
          <w:p w14:paraId="0E23CE76" w14:textId="77777777" w:rsidR="00F96509" w:rsidRPr="00884B00" w:rsidRDefault="00F96509" w:rsidP="00CE4E4E">
            <w:pPr>
              <w:rPr>
                <w:noProof/>
                <w:color w:val="000000"/>
              </w:rPr>
            </w:pPr>
            <w:r w:rsidRPr="00884B00">
              <w:rPr>
                <w:noProof/>
              </w:rPr>
              <w:t>2 460</w:t>
            </w:r>
          </w:p>
        </w:tc>
        <w:tc>
          <w:tcPr>
            <w:tcW w:w="850" w:type="dxa"/>
            <w:tcBorders>
              <w:top w:val="single" w:sz="4" w:space="0" w:color="auto"/>
              <w:bottom w:val="single" w:sz="4" w:space="0" w:color="auto"/>
            </w:tcBorders>
            <w:noWrap/>
          </w:tcPr>
          <w:p w14:paraId="0EB430B4" w14:textId="77777777" w:rsidR="00F96509" w:rsidRPr="00884B00" w:rsidRDefault="00F96509" w:rsidP="00CE4E4E">
            <w:pPr>
              <w:rPr>
                <w:noProof/>
                <w:color w:val="000000"/>
              </w:rPr>
            </w:pPr>
            <w:r w:rsidRPr="00884B00">
              <w:rPr>
                <w:noProof/>
              </w:rPr>
              <w:t>339</w:t>
            </w:r>
          </w:p>
        </w:tc>
        <w:tc>
          <w:tcPr>
            <w:tcW w:w="1134" w:type="dxa"/>
            <w:tcBorders>
              <w:top w:val="single" w:sz="4" w:space="0" w:color="auto"/>
              <w:bottom w:val="single" w:sz="4" w:space="0" w:color="auto"/>
            </w:tcBorders>
            <w:noWrap/>
          </w:tcPr>
          <w:p w14:paraId="31BD26D5" w14:textId="77777777" w:rsidR="00F96509" w:rsidRPr="00884B00" w:rsidRDefault="00F96509" w:rsidP="00CE4E4E">
            <w:pPr>
              <w:rPr>
                <w:noProof/>
                <w:color w:val="000000"/>
              </w:rPr>
            </w:pPr>
            <w:r w:rsidRPr="00884B00">
              <w:rPr>
                <w:noProof/>
              </w:rPr>
              <w:t>14 %</w:t>
            </w:r>
          </w:p>
        </w:tc>
        <w:tc>
          <w:tcPr>
            <w:tcW w:w="1134" w:type="dxa"/>
            <w:tcBorders>
              <w:top w:val="single" w:sz="4" w:space="0" w:color="auto"/>
              <w:left w:val="nil"/>
              <w:bottom w:val="single" w:sz="4" w:space="0" w:color="auto"/>
              <w:right w:val="single" w:sz="4" w:space="0" w:color="auto"/>
            </w:tcBorders>
            <w:noWrap/>
          </w:tcPr>
          <w:p w14:paraId="4087911F" w14:textId="77777777" w:rsidR="00F96509" w:rsidRPr="00884B00" w:rsidRDefault="00F96509" w:rsidP="00CE4E4E">
            <w:pPr>
              <w:rPr>
                <w:noProof/>
                <w:color w:val="000000"/>
              </w:rPr>
            </w:pPr>
            <w:r w:rsidRPr="00884B00">
              <w:rPr>
                <w:noProof/>
              </w:rPr>
              <w:t>59 %</w:t>
            </w:r>
          </w:p>
        </w:tc>
        <w:tc>
          <w:tcPr>
            <w:tcW w:w="993" w:type="dxa"/>
            <w:tcBorders>
              <w:top w:val="single" w:sz="4" w:space="0" w:color="auto"/>
              <w:left w:val="nil"/>
              <w:bottom w:val="single" w:sz="4" w:space="0" w:color="auto"/>
              <w:right w:val="single" w:sz="4" w:space="0" w:color="auto"/>
            </w:tcBorders>
          </w:tcPr>
          <w:p w14:paraId="2BD720A3" w14:textId="77777777" w:rsidR="00F96509" w:rsidRPr="00884B00" w:rsidRDefault="00F96509" w:rsidP="00CE4E4E">
            <w:pPr>
              <w:rPr>
                <w:noProof/>
                <w:color w:val="000000"/>
              </w:rPr>
            </w:pPr>
            <w:r w:rsidRPr="00884B00">
              <w:rPr>
                <w:noProof/>
              </w:rPr>
              <w:t>350</w:t>
            </w:r>
          </w:p>
        </w:tc>
        <w:tc>
          <w:tcPr>
            <w:tcW w:w="1134" w:type="dxa"/>
            <w:tcBorders>
              <w:top w:val="single" w:sz="4" w:space="0" w:color="auto"/>
              <w:left w:val="single" w:sz="4" w:space="0" w:color="auto"/>
              <w:bottom w:val="single" w:sz="4" w:space="0" w:color="auto"/>
              <w:right w:val="single" w:sz="4" w:space="0" w:color="auto"/>
            </w:tcBorders>
          </w:tcPr>
          <w:p w14:paraId="770BE6E7" w14:textId="77777777" w:rsidR="00F96509" w:rsidRPr="00884B00" w:rsidRDefault="00F96509" w:rsidP="00CE4E4E">
            <w:pPr>
              <w:rPr>
                <w:noProof/>
                <w:color w:val="000000"/>
              </w:rPr>
            </w:pPr>
            <w:r w:rsidRPr="00884B00">
              <w:rPr>
                <w:noProof/>
              </w:rPr>
              <w:t>1 178</w:t>
            </w:r>
          </w:p>
        </w:tc>
        <w:tc>
          <w:tcPr>
            <w:tcW w:w="1417" w:type="dxa"/>
            <w:tcBorders>
              <w:top w:val="single" w:sz="4" w:space="0" w:color="auto"/>
              <w:left w:val="single" w:sz="4" w:space="0" w:color="auto"/>
              <w:bottom w:val="single" w:sz="4" w:space="0" w:color="auto"/>
              <w:right w:val="single" w:sz="4" w:space="0" w:color="auto"/>
            </w:tcBorders>
          </w:tcPr>
          <w:p w14:paraId="1EA61605" w14:textId="77777777" w:rsidR="00F96509" w:rsidRPr="00884B00" w:rsidRDefault="00F96509" w:rsidP="00CE4E4E">
            <w:pPr>
              <w:rPr>
                <w:noProof/>
                <w:color w:val="000000"/>
              </w:rPr>
            </w:pPr>
            <w:r w:rsidRPr="00884B00">
              <w:rPr>
                <w:noProof/>
              </w:rPr>
              <w:t>3,4</w:t>
            </w:r>
          </w:p>
        </w:tc>
      </w:tr>
      <w:tr w:rsidR="005C3BF9" w:rsidRPr="00884B00" w14:paraId="482FA9A1" w14:textId="77777777">
        <w:trPr>
          <w:trHeight w:val="246"/>
        </w:trPr>
        <w:tc>
          <w:tcPr>
            <w:tcW w:w="2553" w:type="dxa"/>
            <w:tcBorders>
              <w:top w:val="single" w:sz="4" w:space="0" w:color="auto"/>
              <w:bottom w:val="single" w:sz="4" w:space="0" w:color="auto"/>
            </w:tcBorders>
            <w:noWrap/>
            <w:vAlign w:val="bottom"/>
            <w:hideMark/>
          </w:tcPr>
          <w:p w14:paraId="07DD0E79" w14:textId="4FA11EE1" w:rsidR="00F96509" w:rsidRPr="00884B00" w:rsidRDefault="00F96509" w:rsidP="00CE4E4E">
            <w:pPr>
              <w:rPr>
                <w:noProof/>
                <w:color w:val="000000"/>
              </w:rPr>
            </w:pPr>
            <w:r w:rsidRPr="00884B00">
              <w:rPr>
                <w:noProof/>
                <w:color w:val="000000"/>
              </w:rPr>
              <w:t>Clusterul 3 – Securitatea civilă pentru societate</w:t>
            </w:r>
          </w:p>
        </w:tc>
        <w:tc>
          <w:tcPr>
            <w:tcW w:w="992" w:type="dxa"/>
            <w:tcBorders>
              <w:top w:val="single" w:sz="4" w:space="0" w:color="auto"/>
              <w:bottom w:val="single" w:sz="4" w:space="0" w:color="auto"/>
            </w:tcBorders>
            <w:noWrap/>
          </w:tcPr>
          <w:p w14:paraId="4680E464" w14:textId="77777777" w:rsidR="00F96509" w:rsidRPr="00884B00" w:rsidRDefault="00F96509" w:rsidP="00CE4E4E">
            <w:pPr>
              <w:rPr>
                <w:noProof/>
                <w:color w:val="000000"/>
              </w:rPr>
            </w:pPr>
            <w:r w:rsidRPr="00884B00">
              <w:rPr>
                <w:noProof/>
              </w:rPr>
              <w:t>1 533</w:t>
            </w:r>
          </w:p>
        </w:tc>
        <w:tc>
          <w:tcPr>
            <w:tcW w:w="850" w:type="dxa"/>
            <w:tcBorders>
              <w:top w:val="single" w:sz="4" w:space="0" w:color="auto"/>
              <w:bottom w:val="single" w:sz="4" w:space="0" w:color="auto"/>
            </w:tcBorders>
            <w:noWrap/>
          </w:tcPr>
          <w:p w14:paraId="59C69F27" w14:textId="77777777" w:rsidR="00F96509" w:rsidRPr="00884B00" w:rsidRDefault="00F96509" w:rsidP="00CE4E4E">
            <w:pPr>
              <w:rPr>
                <w:noProof/>
                <w:color w:val="000000"/>
              </w:rPr>
            </w:pPr>
            <w:r w:rsidRPr="00884B00">
              <w:rPr>
                <w:noProof/>
              </w:rPr>
              <w:t>183</w:t>
            </w:r>
          </w:p>
        </w:tc>
        <w:tc>
          <w:tcPr>
            <w:tcW w:w="1134" w:type="dxa"/>
            <w:tcBorders>
              <w:top w:val="single" w:sz="4" w:space="0" w:color="auto"/>
              <w:bottom w:val="single" w:sz="4" w:space="0" w:color="auto"/>
            </w:tcBorders>
            <w:noWrap/>
          </w:tcPr>
          <w:p w14:paraId="33D4784E" w14:textId="77777777" w:rsidR="00F96509" w:rsidRPr="00884B00" w:rsidRDefault="00F96509" w:rsidP="00CE4E4E">
            <w:pPr>
              <w:rPr>
                <w:noProof/>
                <w:color w:val="000000"/>
              </w:rPr>
            </w:pPr>
            <w:r w:rsidRPr="00884B00">
              <w:rPr>
                <w:noProof/>
              </w:rPr>
              <w:t>12 %</w:t>
            </w:r>
          </w:p>
        </w:tc>
        <w:tc>
          <w:tcPr>
            <w:tcW w:w="1134" w:type="dxa"/>
            <w:tcBorders>
              <w:top w:val="single" w:sz="4" w:space="0" w:color="auto"/>
              <w:left w:val="nil"/>
              <w:bottom w:val="single" w:sz="4" w:space="0" w:color="auto"/>
              <w:right w:val="single" w:sz="4" w:space="0" w:color="auto"/>
            </w:tcBorders>
            <w:noWrap/>
          </w:tcPr>
          <w:p w14:paraId="791819B4" w14:textId="77777777" w:rsidR="00F96509" w:rsidRPr="00884B00" w:rsidRDefault="00F96509" w:rsidP="00CE4E4E">
            <w:pPr>
              <w:rPr>
                <w:noProof/>
                <w:color w:val="000000"/>
              </w:rPr>
            </w:pPr>
            <w:r w:rsidRPr="00884B00">
              <w:rPr>
                <w:noProof/>
              </w:rPr>
              <w:t>64 %</w:t>
            </w:r>
          </w:p>
        </w:tc>
        <w:tc>
          <w:tcPr>
            <w:tcW w:w="993" w:type="dxa"/>
            <w:tcBorders>
              <w:top w:val="single" w:sz="4" w:space="0" w:color="auto"/>
              <w:left w:val="nil"/>
              <w:bottom w:val="single" w:sz="4" w:space="0" w:color="auto"/>
              <w:right w:val="single" w:sz="4" w:space="0" w:color="auto"/>
            </w:tcBorders>
          </w:tcPr>
          <w:p w14:paraId="2C9F18A3" w14:textId="77777777" w:rsidR="00F96509" w:rsidRPr="00884B00" w:rsidRDefault="00F96509" w:rsidP="00CE4E4E">
            <w:pPr>
              <w:rPr>
                <w:noProof/>
                <w:color w:val="000000"/>
              </w:rPr>
            </w:pPr>
            <w:r w:rsidRPr="00884B00">
              <w:rPr>
                <w:noProof/>
              </w:rPr>
              <w:t>194</w:t>
            </w:r>
          </w:p>
        </w:tc>
        <w:tc>
          <w:tcPr>
            <w:tcW w:w="1134" w:type="dxa"/>
            <w:tcBorders>
              <w:top w:val="single" w:sz="4" w:space="0" w:color="auto"/>
              <w:left w:val="single" w:sz="4" w:space="0" w:color="auto"/>
              <w:bottom w:val="single" w:sz="4" w:space="0" w:color="auto"/>
              <w:right w:val="single" w:sz="4" w:space="0" w:color="auto"/>
            </w:tcBorders>
          </w:tcPr>
          <w:p w14:paraId="6E80DDA2" w14:textId="77777777" w:rsidR="00F96509" w:rsidRPr="00884B00" w:rsidRDefault="00F96509" w:rsidP="00CE4E4E">
            <w:pPr>
              <w:rPr>
                <w:noProof/>
                <w:color w:val="000000"/>
              </w:rPr>
            </w:pPr>
            <w:r w:rsidRPr="00884B00">
              <w:rPr>
                <w:noProof/>
              </w:rPr>
              <w:t>820</w:t>
            </w:r>
          </w:p>
        </w:tc>
        <w:tc>
          <w:tcPr>
            <w:tcW w:w="1417" w:type="dxa"/>
            <w:tcBorders>
              <w:top w:val="single" w:sz="4" w:space="0" w:color="auto"/>
              <w:left w:val="single" w:sz="4" w:space="0" w:color="auto"/>
              <w:bottom w:val="single" w:sz="4" w:space="0" w:color="auto"/>
              <w:right w:val="single" w:sz="4" w:space="0" w:color="auto"/>
            </w:tcBorders>
          </w:tcPr>
          <w:p w14:paraId="60C3876F" w14:textId="77777777" w:rsidR="00F96509" w:rsidRPr="00884B00" w:rsidRDefault="00F96509" w:rsidP="00CE4E4E">
            <w:pPr>
              <w:rPr>
                <w:noProof/>
                <w:color w:val="000000"/>
              </w:rPr>
            </w:pPr>
            <w:r w:rsidRPr="00884B00">
              <w:rPr>
                <w:noProof/>
              </w:rPr>
              <w:t>4,2</w:t>
            </w:r>
          </w:p>
        </w:tc>
      </w:tr>
      <w:tr w:rsidR="005C3BF9" w:rsidRPr="00884B00" w14:paraId="5B46AB4E" w14:textId="77777777">
        <w:trPr>
          <w:trHeight w:val="246"/>
        </w:trPr>
        <w:tc>
          <w:tcPr>
            <w:tcW w:w="2553" w:type="dxa"/>
            <w:tcBorders>
              <w:top w:val="single" w:sz="4" w:space="0" w:color="auto"/>
              <w:bottom w:val="single" w:sz="4" w:space="0" w:color="auto"/>
            </w:tcBorders>
            <w:noWrap/>
            <w:vAlign w:val="bottom"/>
            <w:hideMark/>
          </w:tcPr>
          <w:p w14:paraId="678B6C70" w14:textId="06DF115A" w:rsidR="00F96509" w:rsidRPr="00884B00" w:rsidRDefault="00F96509" w:rsidP="00CE4E4E">
            <w:pPr>
              <w:rPr>
                <w:noProof/>
                <w:color w:val="000000"/>
              </w:rPr>
            </w:pPr>
            <w:r w:rsidRPr="00884B00">
              <w:rPr>
                <w:noProof/>
                <w:color w:val="000000"/>
              </w:rPr>
              <w:t>Clusterul 4 – Dezvoltare digitală, industrie și spațiu</w:t>
            </w:r>
          </w:p>
        </w:tc>
        <w:tc>
          <w:tcPr>
            <w:tcW w:w="992" w:type="dxa"/>
            <w:tcBorders>
              <w:top w:val="single" w:sz="4" w:space="0" w:color="auto"/>
              <w:bottom w:val="single" w:sz="4" w:space="0" w:color="auto"/>
            </w:tcBorders>
            <w:noWrap/>
          </w:tcPr>
          <w:p w14:paraId="6ACBF48E" w14:textId="77777777" w:rsidR="00F96509" w:rsidRPr="00884B00" w:rsidRDefault="00F96509" w:rsidP="00CE4E4E">
            <w:pPr>
              <w:rPr>
                <w:noProof/>
                <w:color w:val="000000"/>
              </w:rPr>
            </w:pPr>
            <w:r w:rsidRPr="00884B00">
              <w:rPr>
                <w:noProof/>
              </w:rPr>
              <w:t>6 947</w:t>
            </w:r>
          </w:p>
        </w:tc>
        <w:tc>
          <w:tcPr>
            <w:tcW w:w="850" w:type="dxa"/>
            <w:tcBorders>
              <w:top w:val="single" w:sz="4" w:space="0" w:color="auto"/>
              <w:bottom w:val="single" w:sz="4" w:space="0" w:color="auto"/>
            </w:tcBorders>
            <w:noWrap/>
          </w:tcPr>
          <w:p w14:paraId="2D71CCB2" w14:textId="77777777" w:rsidR="00F96509" w:rsidRPr="00884B00" w:rsidRDefault="00F96509" w:rsidP="00CE4E4E">
            <w:pPr>
              <w:rPr>
                <w:noProof/>
                <w:color w:val="000000"/>
              </w:rPr>
            </w:pPr>
            <w:r w:rsidRPr="00884B00">
              <w:rPr>
                <w:noProof/>
              </w:rPr>
              <w:t>1287</w:t>
            </w:r>
          </w:p>
        </w:tc>
        <w:tc>
          <w:tcPr>
            <w:tcW w:w="1134" w:type="dxa"/>
            <w:tcBorders>
              <w:top w:val="single" w:sz="4" w:space="0" w:color="auto"/>
              <w:bottom w:val="single" w:sz="4" w:space="0" w:color="auto"/>
            </w:tcBorders>
            <w:noWrap/>
          </w:tcPr>
          <w:p w14:paraId="01C68BBB" w14:textId="77777777" w:rsidR="00F96509" w:rsidRPr="00884B00" w:rsidRDefault="00F96509" w:rsidP="00CE4E4E">
            <w:pPr>
              <w:rPr>
                <w:noProof/>
                <w:color w:val="000000"/>
              </w:rPr>
            </w:pPr>
            <w:r w:rsidRPr="00884B00">
              <w:rPr>
                <w:noProof/>
              </w:rPr>
              <w:t>19 %</w:t>
            </w:r>
          </w:p>
        </w:tc>
        <w:tc>
          <w:tcPr>
            <w:tcW w:w="1134" w:type="dxa"/>
            <w:tcBorders>
              <w:top w:val="single" w:sz="4" w:space="0" w:color="auto"/>
              <w:left w:val="nil"/>
              <w:bottom w:val="single" w:sz="4" w:space="0" w:color="auto"/>
              <w:right w:val="single" w:sz="4" w:space="0" w:color="auto"/>
            </w:tcBorders>
            <w:noWrap/>
          </w:tcPr>
          <w:p w14:paraId="38EB27DA" w14:textId="77777777" w:rsidR="00F96509" w:rsidRPr="00884B00" w:rsidRDefault="00F96509" w:rsidP="00CE4E4E">
            <w:pPr>
              <w:rPr>
                <w:noProof/>
                <w:color w:val="000000"/>
              </w:rPr>
            </w:pPr>
            <w:r w:rsidRPr="00884B00">
              <w:rPr>
                <w:noProof/>
              </w:rPr>
              <w:t>74 %</w:t>
            </w:r>
          </w:p>
        </w:tc>
        <w:tc>
          <w:tcPr>
            <w:tcW w:w="993" w:type="dxa"/>
            <w:tcBorders>
              <w:top w:val="single" w:sz="4" w:space="0" w:color="auto"/>
              <w:left w:val="nil"/>
              <w:bottom w:val="single" w:sz="4" w:space="0" w:color="auto"/>
              <w:right w:val="single" w:sz="4" w:space="0" w:color="auto"/>
            </w:tcBorders>
          </w:tcPr>
          <w:p w14:paraId="3064A267" w14:textId="77777777" w:rsidR="00F96509" w:rsidRPr="00884B00" w:rsidRDefault="00F96509" w:rsidP="00CE4E4E">
            <w:pPr>
              <w:rPr>
                <w:noProof/>
                <w:color w:val="000000"/>
              </w:rPr>
            </w:pPr>
            <w:r w:rsidRPr="00884B00">
              <w:rPr>
                <w:noProof/>
              </w:rPr>
              <w:t>1169</w:t>
            </w:r>
          </w:p>
        </w:tc>
        <w:tc>
          <w:tcPr>
            <w:tcW w:w="1134" w:type="dxa"/>
            <w:tcBorders>
              <w:top w:val="single" w:sz="4" w:space="0" w:color="auto"/>
              <w:left w:val="single" w:sz="4" w:space="0" w:color="auto"/>
              <w:bottom w:val="single" w:sz="4" w:space="0" w:color="auto"/>
              <w:right w:val="single" w:sz="4" w:space="0" w:color="auto"/>
            </w:tcBorders>
          </w:tcPr>
          <w:p w14:paraId="1FB7097C" w14:textId="77777777" w:rsidR="00F96509" w:rsidRPr="00884B00" w:rsidRDefault="00F96509" w:rsidP="00CE4E4E">
            <w:pPr>
              <w:rPr>
                <w:noProof/>
                <w:color w:val="000000"/>
              </w:rPr>
            </w:pPr>
            <w:r w:rsidRPr="00884B00">
              <w:rPr>
                <w:noProof/>
              </w:rPr>
              <w:t>8 426</w:t>
            </w:r>
          </w:p>
        </w:tc>
        <w:tc>
          <w:tcPr>
            <w:tcW w:w="1417" w:type="dxa"/>
            <w:tcBorders>
              <w:top w:val="single" w:sz="4" w:space="0" w:color="auto"/>
              <w:left w:val="single" w:sz="4" w:space="0" w:color="auto"/>
              <w:bottom w:val="single" w:sz="4" w:space="0" w:color="auto"/>
              <w:right w:val="single" w:sz="4" w:space="0" w:color="auto"/>
            </w:tcBorders>
          </w:tcPr>
          <w:p w14:paraId="4BF39923" w14:textId="77777777" w:rsidR="00F96509" w:rsidRPr="00884B00" w:rsidRDefault="00F96509" w:rsidP="00CE4E4E">
            <w:pPr>
              <w:rPr>
                <w:noProof/>
                <w:color w:val="000000"/>
              </w:rPr>
            </w:pPr>
            <w:r w:rsidRPr="00884B00">
              <w:rPr>
                <w:noProof/>
              </w:rPr>
              <w:t>7,2</w:t>
            </w:r>
          </w:p>
        </w:tc>
      </w:tr>
      <w:tr w:rsidR="005C3BF9" w:rsidRPr="00884B00" w14:paraId="40856CC0" w14:textId="77777777">
        <w:trPr>
          <w:trHeight w:val="246"/>
        </w:trPr>
        <w:tc>
          <w:tcPr>
            <w:tcW w:w="2553" w:type="dxa"/>
            <w:tcBorders>
              <w:top w:val="single" w:sz="4" w:space="0" w:color="auto"/>
              <w:bottom w:val="single" w:sz="4" w:space="0" w:color="auto"/>
            </w:tcBorders>
            <w:noWrap/>
            <w:vAlign w:val="bottom"/>
            <w:hideMark/>
          </w:tcPr>
          <w:p w14:paraId="4126B623" w14:textId="6AD081AA" w:rsidR="00F96509" w:rsidRPr="00884B00" w:rsidRDefault="00F96509" w:rsidP="00CE4E4E">
            <w:pPr>
              <w:rPr>
                <w:noProof/>
                <w:color w:val="000000"/>
              </w:rPr>
            </w:pPr>
            <w:r w:rsidRPr="00884B00">
              <w:rPr>
                <w:noProof/>
                <w:color w:val="000000"/>
              </w:rPr>
              <w:t>Clusterul 5 – Climă, energie și mobilitate (inclusiv Noul Bauhaus European)</w:t>
            </w:r>
          </w:p>
        </w:tc>
        <w:tc>
          <w:tcPr>
            <w:tcW w:w="992" w:type="dxa"/>
            <w:tcBorders>
              <w:top w:val="single" w:sz="4" w:space="0" w:color="auto"/>
              <w:bottom w:val="single" w:sz="4" w:space="0" w:color="auto"/>
            </w:tcBorders>
            <w:noWrap/>
          </w:tcPr>
          <w:p w14:paraId="05263EA6" w14:textId="77777777" w:rsidR="00F96509" w:rsidRPr="00884B00" w:rsidRDefault="00F96509" w:rsidP="00CE4E4E">
            <w:pPr>
              <w:rPr>
                <w:noProof/>
                <w:color w:val="000000"/>
              </w:rPr>
            </w:pPr>
            <w:r w:rsidRPr="00884B00">
              <w:rPr>
                <w:noProof/>
              </w:rPr>
              <w:t>7 093</w:t>
            </w:r>
          </w:p>
        </w:tc>
        <w:tc>
          <w:tcPr>
            <w:tcW w:w="850" w:type="dxa"/>
            <w:tcBorders>
              <w:top w:val="single" w:sz="4" w:space="0" w:color="auto"/>
              <w:bottom w:val="single" w:sz="4" w:space="0" w:color="auto"/>
            </w:tcBorders>
            <w:noWrap/>
          </w:tcPr>
          <w:p w14:paraId="273E294B" w14:textId="77777777" w:rsidR="00F96509" w:rsidRPr="00884B00" w:rsidRDefault="00F96509" w:rsidP="00CE4E4E">
            <w:pPr>
              <w:rPr>
                <w:noProof/>
                <w:color w:val="000000"/>
              </w:rPr>
            </w:pPr>
            <w:r w:rsidRPr="00884B00">
              <w:rPr>
                <w:noProof/>
              </w:rPr>
              <w:t>1 264</w:t>
            </w:r>
          </w:p>
        </w:tc>
        <w:tc>
          <w:tcPr>
            <w:tcW w:w="1134" w:type="dxa"/>
            <w:tcBorders>
              <w:top w:val="single" w:sz="4" w:space="0" w:color="auto"/>
              <w:bottom w:val="single" w:sz="4" w:space="0" w:color="auto"/>
            </w:tcBorders>
            <w:noWrap/>
          </w:tcPr>
          <w:p w14:paraId="16C2E48F" w14:textId="77777777" w:rsidR="00F96509" w:rsidRPr="00884B00" w:rsidRDefault="00F96509" w:rsidP="00CE4E4E">
            <w:pPr>
              <w:rPr>
                <w:noProof/>
                <w:color w:val="000000"/>
              </w:rPr>
            </w:pPr>
            <w:r w:rsidRPr="00884B00">
              <w:rPr>
                <w:noProof/>
              </w:rPr>
              <w:t>18 %</w:t>
            </w:r>
          </w:p>
        </w:tc>
        <w:tc>
          <w:tcPr>
            <w:tcW w:w="1134" w:type="dxa"/>
            <w:tcBorders>
              <w:top w:val="single" w:sz="4" w:space="0" w:color="auto"/>
              <w:left w:val="nil"/>
              <w:bottom w:val="single" w:sz="4" w:space="0" w:color="auto"/>
              <w:right w:val="single" w:sz="4" w:space="0" w:color="auto"/>
            </w:tcBorders>
            <w:noWrap/>
          </w:tcPr>
          <w:p w14:paraId="4DC71246" w14:textId="77777777" w:rsidR="00F96509" w:rsidRPr="00884B00" w:rsidRDefault="00F96509" w:rsidP="00CE4E4E">
            <w:pPr>
              <w:rPr>
                <w:noProof/>
                <w:color w:val="000000"/>
              </w:rPr>
            </w:pPr>
            <w:r w:rsidRPr="00884B00">
              <w:rPr>
                <w:noProof/>
              </w:rPr>
              <w:t>61 %</w:t>
            </w:r>
          </w:p>
        </w:tc>
        <w:tc>
          <w:tcPr>
            <w:tcW w:w="993" w:type="dxa"/>
            <w:tcBorders>
              <w:top w:val="single" w:sz="4" w:space="0" w:color="auto"/>
              <w:left w:val="nil"/>
              <w:bottom w:val="single" w:sz="4" w:space="0" w:color="auto"/>
              <w:right w:val="single" w:sz="4" w:space="0" w:color="auto"/>
            </w:tcBorders>
          </w:tcPr>
          <w:p w14:paraId="6914D67A" w14:textId="77777777" w:rsidR="00F96509" w:rsidRPr="00884B00" w:rsidRDefault="00F96509" w:rsidP="00CE4E4E">
            <w:pPr>
              <w:rPr>
                <w:noProof/>
                <w:color w:val="000000"/>
              </w:rPr>
            </w:pPr>
            <w:r w:rsidRPr="00884B00">
              <w:rPr>
                <w:noProof/>
              </w:rPr>
              <w:t>1 311</w:t>
            </w:r>
          </w:p>
        </w:tc>
        <w:tc>
          <w:tcPr>
            <w:tcW w:w="1134" w:type="dxa"/>
            <w:tcBorders>
              <w:top w:val="single" w:sz="4" w:space="0" w:color="auto"/>
              <w:left w:val="single" w:sz="4" w:space="0" w:color="auto"/>
              <w:bottom w:val="single" w:sz="4" w:space="0" w:color="auto"/>
              <w:right w:val="single" w:sz="4" w:space="0" w:color="auto"/>
            </w:tcBorders>
          </w:tcPr>
          <w:p w14:paraId="5F74F85C" w14:textId="77777777" w:rsidR="00F96509" w:rsidRPr="00884B00" w:rsidRDefault="00F96509" w:rsidP="00CE4E4E">
            <w:pPr>
              <w:rPr>
                <w:noProof/>
                <w:color w:val="000000"/>
              </w:rPr>
            </w:pPr>
            <w:r w:rsidRPr="00884B00">
              <w:rPr>
                <w:noProof/>
              </w:rPr>
              <w:t>9 135</w:t>
            </w:r>
          </w:p>
        </w:tc>
        <w:tc>
          <w:tcPr>
            <w:tcW w:w="1417" w:type="dxa"/>
            <w:tcBorders>
              <w:top w:val="single" w:sz="4" w:space="0" w:color="auto"/>
              <w:left w:val="single" w:sz="4" w:space="0" w:color="auto"/>
              <w:bottom w:val="single" w:sz="4" w:space="0" w:color="auto"/>
              <w:right w:val="single" w:sz="4" w:space="0" w:color="auto"/>
            </w:tcBorders>
          </w:tcPr>
          <w:p w14:paraId="2568CCCC" w14:textId="77777777" w:rsidR="00F96509" w:rsidRPr="00884B00" w:rsidRDefault="00F96509" w:rsidP="00CE4E4E">
            <w:pPr>
              <w:rPr>
                <w:noProof/>
                <w:color w:val="000000"/>
              </w:rPr>
            </w:pPr>
            <w:r w:rsidRPr="00884B00">
              <w:rPr>
                <w:noProof/>
              </w:rPr>
              <w:t>7</w:t>
            </w:r>
          </w:p>
        </w:tc>
      </w:tr>
      <w:tr w:rsidR="005C3BF9" w:rsidRPr="00884B00" w14:paraId="08100DC2" w14:textId="77777777">
        <w:trPr>
          <w:trHeight w:val="246"/>
        </w:trPr>
        <w:tc>
          <w:tcPr>
            <w:tcW w:w="2553" w:type="dxa"/>
            <w:tcBorders>
              <w:top w:val="single" w:sz="4" w:space="0" w:color="auto"/>
              <w:bottom w:val="single" w:sz="4" w:space="0" w:color="auto"/>
            </w:tcBorders>
            <w:noWrap/>
            <w:vAlign w:val="bottom"/>
            <w:hideMark/>
          </w:tcPr>
          <w:p w14:paraId="59A9D5E5" w14:textId="00C852A0" w:rsidR="00F96509" w:rsidRPr="00884B00" w:rsidRDefault="00F96509" w:rsidP="00CE4E4E">
            <w:pPr>
              <w:rPr>
                <w:noProof/>
                <w:color w:val="000000"/>
              </w:rPr>
            </w:pPr>
            <w:r w:rsidRPr="00884B00">
              <w:rPr>
                <w:noProof/>
                <w:color w:val="000000"/>
              </w:rPr>
              <w:t>Clusterul 6 – Alimente, bioeconomie, resurse naturale, agricultură și mediu</w:t>
            </w:r>
          </w:p>
        </w:tc>
        <w:tc>
          <w:tcPr>
            <w:tcW w:w="992" w:type="dxa"/>
            <w:tcBorders>
              <w:top w:val="single" w:sz="4" w:space="0" w:color="auto"/>
              <w:bottom w:val="single" w:sz="4" w:space="0" w:color="auto"/>
            </w:tcBorders>
            <w:noWrap/>
          </w:tcPr>
          <w:p w14:paraId="637F8B5B" w14:textId="77777777" w:rsidR="00F96509" w:rsidRPr="00884B00" w:rsidRDefault="00F96509" w:rsidP="00CE4E4E">
            <w:pPr>
              <w:rPr>
                <w:noProof/>
                <w:color w:val="000000"/>
              </w:rPr>
            </w:pPr>
            <w:r w:rsidRPr="00884B00">
              <w:rPr>
                <w:noProof/>
              </w:rPr>
              <w:t>4 114</w:t>
            </w:r>
          </w:p>
        </w:tc>
        <w:tc>
          <w:tcPr>
            <w:tcW w:w="850" w:type="dxa"/>
            <w:tcBorders>
              <w:top w:val="single" w:sz="4" w:space="0" w:color="auto"/>
              <w:bottom w:val="single" w:sz="4" w:space="0" w:color="auto"/>
            </w:tcBorders>
            <w:noWrap/>
          </w:tcPr>
          <w:p w14:paraId="2F1201BE" w14:textId="77777777" w:rsidR="00F96509" w:rsidRPr="00884B00" w:rsidRDefault="00F96509" w:rsidP="00CE4E4E">
            <w:pPr>
              <w:rPr>
                <w:noProof/>
                <w:color w:val="000000"/>
              </w:rPr>
            </w:pPr>
            <w:r w:rsidRPr="00884B00">
              <w:rPr>
                <w:noProof/>
              </w:rPr>
              <w:t>845</w:t>
            </w:r>
          </w:p>
        </w:tc>
        <w:tc>
          <w:tcPr>
            <w:tcW w:w="1134" w:type="dxa"/>
            <w:tcBorders>
              <w:top w:val="single" w:sz="4" w:space="0" w:color="auto"/>
              <w:bottom w:val="single" w:sz="4" w:space="0" w:color="auto"/>
            </w:tcBorders>
            <w:noWrap/>
          </w:tcPr>
          <w:p w14:paraId="60D9AE23" w14:textId="77777777" w:rsidR="00F96509" w:rsidRPr="00884B00" w:rsidRDefault="00F96509" w:rsidP="00CE4E4E">
            <w:pPr>
              <w:rPr>
                <w:noProof/>
                <w:color w:val="000000"/>
              </w:rPr>
            </w:pPr>
            <w:r w:rsidRPr="00884B00">
              <w:rPr>
                <w:noProof/>
              </w:rPr>
              <w:t>21 %</w:t>
            </w:r>
          </w:p>
        </w:tc>
        <w:tc>
          <w:tcPr>
            <w:tcW w:w="1134" w:type="dxa"/>
            <w:tcBorders>
              <w:top w:val="single" w:sz="4" w:space="0" w:color="auto"/>
              <w:left w:val="nil"/>
              <w:bottom w:val="single" w:sz="4" w:space="0" w:color="auto"/>
              <w:right w:val="single" w:sz="4" w:space="0" w:color="auto"/>
            </w:tcBorders>
            <w:noWrap/>
          </w:tcPr>
          <w:p w14:paraId="19FA65EF" w14:textId="77777777" w:rsidR="00F96509" w:rsidRPr="00884B00" w:rsidRDefault="00F96509" w:rsidP="00CE4E4E">
            <w:pPr>
              <w:rPr>
                <w:noProof/>
                <w:color w:val="000000"/>
              </w:rPr>
            </w:pPr>
            <w:r w:rsidRPr="00884B00">
              <w:rPr>
                <w:noProof/>
              </w:rPr>
              <w:t>71 %</w:t>
            </w:r>
          </w:p>
        </w:tc>
        <w:tc>
          <w:tcPr>
            <w:tcW w:w="993" w:type="dxa"/>
            <w:tcBorders>
              <w:top w:val="single" w:sz="4" w:space="0" w:color="auto"/>
              <w:left w:val="nil"/>
              <w:bottom w:val="single" w:sz="4" w:space="0" w:color="auto"/>
              <w:right w:val="single" w:sz="4" w:space="0" w:color="auto"/>
            </w:tcBorders>
          </w:tcPr>
          <w:p w14:paraId="362546E9" w14:textId="77777777" w:rsidR="00F96509" w:rsidRPr="00884B00" w:rsidRDefault="00F96509" w:rsidP="00CE4E4E">
            <w:pPr>
              <w:rPr>
                <w:noProof/>
                <w:color w:val="000000"/>
              </w:rPr>
            </w:pPr>
            <w:r w:rsidRPr="00884B00">
              <w:rPr>
                <w:noProof/>
              </w:rPr>
              <w:t>839</w:t>
            </w:r>
          </w:p>
        </w:tc>
        <w:tc>
          <w:tcPr>
            <w:tcW w:w="1134" w:type="dxa"/>
            <w:tcBorders>
              <w:top w:val="single" w:sz="4" w:space="0" w:color="auto"/>
              <w:left w:val="single" w:sz="4" w:space="0" w:color="auto"/>
              <w:bottom w:val="single" w:sz="4" w:space="0" w:color="auto"/>
              <w:right w:val="single" w:sz="4" w:space="0" w:color="auto"/>
            </w:tcBorders>
          </w:tcPr>
          <w:p w14:paraId="4F1E1E41" w14:textId="77777777" w:rsidR="00F96509" w:rsidRPr="00884B00" w:rsidRDefault="00F96509" w:rsidP="00CE4E4E">
            <w:pPr>
              <w:rPr>
                <w:noProof/>
                <w:color w:val="000000"/>
              </w:rPr>
            </w:pPr>
            <w:r w:rsidRPr="00884B00">
              <w:rPr>
                <w:noProof/>
              </w:rPr>
              <w:t>4 938</w:t>
            </w:r>
          </w:p>
        </w:tc>
        <w:tc>
          <w:tcPr>
            <w:tcW w:w="1417" w:type="dxa"/>
            <w:tcBorders>
              <w:top w:val="single" w:sz="4" w:space="0" w:color="auto"/>
              <w:left w:val="single" w:sz="4" w:space="0" w:color="auto"/>
              <w:bottom w:val="single" w:sz="4" w:space="0" w:color="auto"/>
              <w:right w:val="single" w:sz="4" w:space="0" w:color="auto"/>
            </w:tcBorders>
          </w:tcPr>
          <w:p w14:paraId="517B73A3" w14:textId="77777777" w:rsidR="00F96509" w:rsidRPr="00884B00" w:rsidRDefault="00F96509" w:rsidP="00CE4E4E">
            <w:pPr>
              <w:rPr>
                <w:noProof/>
                <w:color w:val="000000"/>
              </w:rPr>
            </w:pPr>
            <w:r w:rsidRPr="00884B00">
              <w:rPr>
                <w:noProof/>
              </w:rPr>
              <w:t>5,9</w:t>
            </w:r>
          </w:p>
        </w:tc>
      </w:tr>
      <w:tr w:rsidR="00456887" w:rsidRPr="00884B00" w14:paraId="0E28444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6AEC8146" w14:textId="77777777" w:rsidR="00F96509" w:rsidRPr="00884B00" w:rsidRDefault="00F96509" w:rsidP="00CE4E4E">
            <w:pPr>
              <w:rPr>
                <w:b/>
                <w:noProof/>
                <w:color w:val="000000"/>
              </w:rPr>
            </w:pPr>
            <w:r w:rsidRPr="00884B00">
              <w:rPr>
                <w:b/>
                <w:noProof/>
                <w:color w:val="000000"/>
              </w:rPr>
              <w:t>Pilonul III – O Europă inovatoare</w:t>
            </w:r>
          </w:p>
        </w:tc>
      </w:tr>
      <w:tr w:rsidR="005C3BF9" w:rsidRPr="00884B00" w14:paraId="5899A5E7" w14:textId="77777777">
        <w:trPr>
          <w:trHeight w:val="246"/>
        </w:trPr>
        <w:tc>
          <w:tcPr>
            <w:tcW w:w="2553" w:type="dxa"/>
            <w:tcBorders>
              <w:top w:val="single" w:sz="4" w:space="0" w:color="auto"/>
              <w:bottom w:val="single" w:sz="4" w:space="0" w:color="auto"/>
            </w:tcBorders>
            <w:noWrap/>
            <w:vAlign w:val="bottom"/>
            <w:hideMark/>
          </w:tcPr>
          <w:p w14:paraId="39D13123" w14:textId="20166C10" w:rsidR="00F96509" w:rsidRPr="00884B00" w:rsidRDefault="00F96509" w:rsidP="00CE4E4E">
            <w:pPr>
              <w:rPr>
                <w:noProof/>
                <w:color w:val="000000"/>
              </w:rPr>
            </w:pPr>
            <w:r w:rsidRPr="00884B00">
              <w:rPr>
                <w:noProof/>
                <w:color w:val="000000"/>
              </w:rPr>
              <w:t>Consiliul European pentru Inovare (CEI)</w:t>
            </w:r>
          </w:p>
        </w:tc>
        <w:tc>
          <w:tcPr>
            <w:tcW w:w="992" w:type="dxa"/>
            <w:tcBorders>
              <w:top w:val="single" w:sz="4" w:space="0" w:color="auto"/>
              <w:bottom w:val="single" w:sz="4" w:space="0" w:color="auto"/>
            </w:tcBorders>
            <w:noWrap/>
          </w:tcPr>
          <w:p w14:paraId="2956EC86" w14:textId="77777777" w:rsidR="00F96509" w:rsidRPr="00884B00" w:rsidRDefault="00F96509" w:rsidP="00CE4E4E">
            <w:pPr>
              <w:rPr>
                <w:noProof/>
              </w:rPr>
            </w:pPr>
            <w:r w:rsidRPr="00884B00">
              <w:rPr>
                <w:noProof/>
              </w:rPr>
              <w:t>20 340</w:t>
            </w:r>
          </w:p>
        </w:tc>
        <w:tc>
          <w:tcPr>
            <w:tcW w:w="850" w:type="dxa"/>
            <w:tcBorders>
              <w:top w:val="single" w:sz="4" w:space="0" w:color="auto"/>
              <w:bottom w:val="single" w:sz="4" w:space="0" w:color="auto"/>
            </w:tcBorders>
            <w:noWrap/>
          </w:tcPr>
          <w:p w14:paraId="06BC9E3C" w14:textId="77777777" w:rsidR="00F96509" w:rsidRPr="00884B00" w:rsidRDefault="00F96509" w:rsidP="00CE4E4E">
            <w:pPr>
              <w:rPr>
                <w:noProof/>
              </w:rPr>
            </w:pPr>
            <w:r w:rsidRPr="00884B00">
              <w:rPr>
                <w:noProof/>
              </w:rPr>
              <w:t>1 417</w:t>
            </w:r>
          </w:p>
        </w:tc>
        <w:tc>
          <w:tcPr>
            <w:tcW w:w="1134" w:type="dxa"/>
            <w:tcBorders>
              <w:top w:val="single" w:sz="4" w:space="0" w:color="auto"/>
              <w:bottom w:val="single" w:sz="4" w:space="0" w:color="auto"/>
            </w:tcBorders>
            <w:noWrap/>
          </w:tcPr>
          <w:p w14:paraId="0D0F1733" w14:textId="77777777" w:rsidR="00F96509" w:rsidRPr="00884B00" w:rsidRDefault="00F96509" w:rsidP="00CE4E4E">
            <w:pPr>
              <w:rPr>
                <w:noProof/>
              </w:rPr>
            </w:pPr>
            <w:r w:rsidRPr="00884B00">
              <w:rPr>
                <w:noProof/>
              </w:rPr>
              <w:t>7 %</w:t>
            </w:r>
          </w:p>
        </w:tc>
        <w:tc>
          <w:tcPr>
            <w:tcW w:w="1134" w:type="dxa"/>
            <w:tcBorders>
              <w:top w:val="single" w:sz="4" w:space="0" w:color="auto"/>
              <w:left w:val="nil"/>
              <w:bottom w:val="single" w:sz="4" w:space="0" w:color="auto"/>
              <w:right w:val="single" w:sz="4" w:space="0" w:color="auto"/>
            </w:tcBorders>
            <w:noWrap/>
          </w:tcPr>
          <w:p w14:paraId="16F9CA3C" w14:textId="77777777" w:rsidR="00F96509" w:rsidRPr="00884B00" w:rsidRDefault="00F96509" w:rsidP="00CE4E4E">
            <w:pPr>
              <w:rPr>
                <w:noProof/>
              </w:rPr>
            </w:pPr>
            <w:r w:rsidRPr="00884B00">
              <w:rPr>
                <w:noProof/>
              </w:rPr>
              <w:t>33 %</w:t>
            </w:r>
          </w:p>
        </w:tc>
        <w:tc>
          <w:tcPr>
            <w:tcW w:w="993" w:type="dxa"/>
            <w:tcBorders>
              <w:top w:val="single" w:sz="4" w:space="0" w:color="auto"/>
              <w:left w:val="nil"/>
              <w:bottom w:val="single" w:sz="4" w:space="0" w:color="auto"/>
              <w:right w:val="single" w:sz="4" w:space="0" w:color="auto"/>
            </w:tcBorders>
          </w:tcPr>
          <w:p w14:paraId="07D016F3" w14:textId="77777777" w:rsidR="00F96509" w:rsidRPr="00884B00" w:rsidRDefault="00F96509" w:rsidP="00CE4E4E">
            <w:pPr>
              <w:rPr>
                <w:noProof/>
              </w:rPr>
            </w:pPr>
            <w:r w:rsidRPr="00884B00">
              <w:rPr>
                <w:noProof/>
              </w:rPr>
              <w:t>1 330</w:t>
            </w:r>
          </w:p>
        </w:tc>
        <w:tc>
          <w:tcPr>
            <w:tcW w:w="1134" w:type="dxa"/>
            <w:tcBorders>
              <w:top w:val="single" w:sz="4" w:space="0" w:color="auto"/>
              <w:left w:val="single" w:sz="4" w:space="0" w:color="auto"/>
              <w:bottom w:val="single" w:sz="4" w:space="0" w:color="auto"/>
              <w:right w:val="single" w:sz="4" w:space="0" w:color="auto"/>
            </w:tcBorders>
          </w:tcPr>
          <w:p w14:paraId="550D0FC3" w14:textId="77777777" w:rsidR="00F96509" w:rsidRPr="00884B00" w:rsidRDefault="00F96509" w:rsidP="00CE4E4E">
            <w:pPr>
              <w:rPr>
                <w:noProof/>
              </w:rPr>
            </w:pPr>
            <w:r w:rsidRPr="00884B00">
              <w:rPr>
                <w:noProof/>
              </w:rPr>
              <w:t>3 532</w:t>
            </w:r>
          </w:p>
        </w:tc>
        <w:tc>
          <w:tcPr>
            <w:tcW w:w="1417" w:type="dxa"/>
            <w:tcBorders>
              <w:top w:val="single" w:sz="4" w:space="0" w:color="auto"/>
              <w:left w:val="single" w:sz="4" w:space="0" w:color="auto"/>
              <w:bottom w:val="single" w:sz="4" w:space="0" w:color="auto"/>
              <w:right w:val="single" w:sz="4" w:space="0" w:color="auto"/>
            </w:tcBorders>
          </w:tcPr>
          <w:p w14:paraId="7122A179" w14:textId="77777777" w:rsidR="00F96509" w:rsidRPr="00884B00" w:rsidRDefault="00F96509" w:rsidP="00CE4E4E">
            <w:pPr>
              <w:rPr>
                <w:noProof/>
              </w:rPr>
            </w:pPr>
            <w:r w:rsidRPr="00884B00">
              <w:rPr>
                <w:noProof/>
              </w:rPr>
              <w:t>2,7</w:t>
            </w:r>
          </w:p>
        </w:tc>
      </w:tr>
      <w:tr w:rsidR="005C3BF9" w:rsidRPr="00884B00" w14:paraId="35137C7C" w14:textId="77777777">
        <w:trPr>
          <w:trHeight w:val="246"/>
        </w:trPr>
        <w:tc>
          <w:tcPr>
            <w:tcW w:w="2553" w:type="dxa"/>
            <w:tcBorders>
              <w:top w:val="single" w:sz="4" w:space="0" w:color="auto"/>
              <w:bottom w:val="single" w:sz="4" w:space="0" w:color="auto"/>
            </w:tcBorders>
            <w:noWrap/>
            <w:vAlign w:val="bottom"/>
            <w:hideMark/>
          </w:tcPr>
          <w:p w14:paraId="197E6E01" w14:textId="77777777" w:rsidR="00F96509" w:rsidRPr="00884B00" w:rsidRDefault="00F96509" w:rsidP="00CE4E4E">
            <w:pPr>
              <w:rPr>
                <w:noProof/>
                <w:color w:val="000000"/>
              </w:rPr>
            </w:pPr>
            <w:r w:rsidRPr="00884B00">
              <w:rPr>
                <w:noProof/>
                <w:color w:val="000000"/>
              </w:rPr>
              <w:t>Ecosistemele de inovare europene</w:t>
            </w:r>
          </w:p>
        </w:tc>
        <w:tc>
          <w:tcPr>
            <w:tcW w:w="992" w:type="dxa"/>
            <w:tcBorders>
              <w:top w:val="single" w:sz="4" w:space="0" w:color="auto"/>
              <w:bottom w:val="single" w:sz="4" w:space="0" w:color="auto"/>
            </w:tcBorders>
            <w:noWrap/>
          </w:tcPr>
          <w:p w14:paraId="224EE319" w14:textId="77777777" w:rsidR="00F96509" w:rsidRPr="00884B00" w:rsidRDefault="00F96509" w:rsidP="00CE4E4E">
            <w:pPr>
              <w:rPr>
                <w:noProof/>
              </w:rPr>
            </w:pPr>
            <w:r w:rsidRPr="00884B00">
              <w:rPr>
                <w:noProof/>
              </w:rPr>
              <w:t>1 502</w:t>
            </w:r>
          </w:p>
        </w:tc>
        <w:tc>
          <w:tcPr>
            <w:tcW w:w="850" w:type="dxa"/>
            <w:tcBorders>
              <w:top w:val="single" w:sz="4" w:space="0" w:color="auto"/>
              <w:bottom w:val="single" w:sz="4" w:space="0" w:color="auto"/>
            </w:tcBorders>
            <w:noWrap/>
          </w:tcPr>
          <w:p w14:paraId="476AFB8A" w14:textId="77777777" w:rsidR="00F96509" w:rsidRPr="00884B00" w:rsidRDefault="00F96509" w:rsidP="00CE4E4E">
            <w:pPr>
              <w:rPr>
                <w:noProof/>
              </w:rPr>
            </w:pPr>
            <w:r w:rsidRPr="00884B00">
              <w:rPr>
                <w:noProof/>
              </w:rPr>
              <w:t>275</w:t>
            </w:r>
          </w:p>
        </w:tc>
        <w:tc>
          <w:tcPr>
            <w:tcW w:w="1134" w:type="dxa"/>
            <w:tcBorders>
              <w:top w:val="single" w:sz="4" w:space="0" w:color="auto"/>
              <w:bottom w:val="single" w:sz="4" w:space="0" w:color="auto"/>
            </w:tcBorders>
            <w:noWrap/>
          </w:tcPr>
          <w:p w14:paraId="6E40C595" w14:textId="77777777" w:rsidR="00F96509" w:rsidRPr="00884B00" w:rsidRDefault="00F96509" w:rsidP="00CE4E4E">
            <w:pPr>
              <w:rPr>
                <w:noProof/>
              </w:rPr>
            </w:pPr>
            <w:r w:rsidRPr="00884B00">
              <w:rPr>
                <w:noProof/>
              </w:rPr>
              <w:t>18 %</w:t>
            </w:r>
          </w:p>
        </w:tc>
        <w:tc>
          <w:tcPr>
            <w:tcW w:w="1134" w:type="dxa"/>
            <w:tcBorders>
              <w:top w:val="single" w:sz="4" w:space="0" w:color="auto"/>
              <w:left w:val="nil"/>
              <w:bottom w:val="single" w:sz="4" w:space="0" w:color="auto"/>
              <w:right w:val="single" w:sz="4" w:space="0" w:color="auto"/>
            </w:tcBorders>
            <w:noWrap/>
          </w:tcPr>
          <w:p w14:paraId="45E8C6E9" w14:textId="77777777" w:rsidR="00F96509" w:rsidRPr="00884B00" w:rsidRDefault="00F96509" w:rsidP="00CE4E4E">
            <w:pPr>
              <w:rPr>
                <w:noProof/>
              </w:rPr>
            </w:pPr>
            <w:r w:rsidRPr="00884B00">
              <w:rPr>
                <w:noProof/>
              </w:rPr>
              <w:t>58 %</w:t>
            </w:r>
          </w:p>
        </w:tc>
        <w:tc>
          <w:tcPr>
            <w:tcW w:w="993" w:type="dxa"/>
            <w:tcBorders>
              <w:top w:val="single" w:sz="4" w:space="0" w:color="auto"/>
              <w:left w:val="nil"/>
              <w:bottom w:val="single" w:sz="4" w:space="0" w:color="auto"/>
              <w:right w:val="single" w:sz="4" w:space="0" w:color="auto"/>
            </w:tcBorders>
          </w:tcPr>
          <w:p w14:paraId="0E23B423" w14:textId="77777777" w:rsidR="00F96509" w:rsidRPr="00884B00" w:rsidRDefault="00F96509" w:rsidP="00CE4E4E">
            <w:pPr>
              <w:rPr>
                <w:noProof/>
              </w:rPr>
            </w:pPr>
            <w:r w:rsidRPr="00884B00">
              <w:rPr>
                <w:noProof/>
              </w:rPr>
              <w:t>282</w:t>
            </w:r>
          </w:p>
        </w:tc>
        <w:tc>
          <w:tcPr>
            <w:tcW w:w="1134" w:type="dxa"/>
            <w:tcBorders>
              <w:top w:val="single" w:sz="4" w:space="0" w:color="auto"/>
              <w:left w:val="single" w:sz="4" w:space="0" w:color="auto"/>
              <w:bottom w:val="single" w:sz="4" w:space="0" w:color="auto"/>
              <w:right w:val="single" w:sz="4" w:space="0" w:color="auto"/>
            </w:tcBorders>
          </w:tcPr>
          <w:p w14:paraId="0AC24DE1" w14:textId="77777777" w:rsidR="00F96509" w:rsidRPr="00884B00" w:rsidRDefault="00F96509" w:rsidP="00CE4E4E">
            <w:pPr>
              <w:rPr>
                <w:noProof/>
              </w:rPr>
            </w:pPr>
            <w:r w:rsidRPr="00884B00">
              <w:rPr>
                <w:noProof/>
              </w:rPr>
              <w:t>304</w:t>
            </w:r>
          </w:p>
        </w:tc>
        <w:tc>
          <w:tcPr>
            <w:tcW w:w="1417" w:type="dxa"/>
            <w:tcBorders>
              <w:top w:val="single" w:sz="4" w:space="0" w:color="auto"/>
              <w:left w:val="single" w:sz="4" w:space="0" w:color="auto"/>
              <w:bottom w:val="single" w:sz="4" w:space="0" w:color="auto"/>
              <w:right w:val="single" w:sz="4" w:space="0" w:color="auto"/>
            </w:tcBorders>
          </w:tcPr>
          <w:p w14:paraId="5B3255D4" w14:textId="77777777" w:rsidR="00F96509" w:rsidRPr="00884B00" w:rsidRDefault="00F96509" w:rsidP="00CE4E4E">
            <w:pPr>
              <w:rPr>
                <w:noProof/>
              </w:rPr>
            </w:pPr>
            <w:r w:rsidRPr="00884B00">
              <w:rPr>
                <w:noProof/>
              </w:rPr>
              <w:t>1,1</w:t>
            </w:r>
          </w:p>
        </w:tc>
      </w:tr>
      <w:tr w:rsidR="005C3BF9" w:rsidRPr="00884B00" w14:paraId="0493E4B9" w14:textId="77777777">
        <w:trPr>
          <w:trHeight w:val="246"/>
        </w:trPr>
        <w:tc>
          <w:tcPr>
            <w:tcW w:w="2553" w:type="dxa"/>
            <w:tcBorders>
              <w:top w:val="single" w:sz="4" w:space="0" w:color="auto"/>
              <w:bottom w:val="single" w:sz="4" w:space="0" w:color="auto"/>
            </w:tcBorders>
            <w:noWrap/>
            <w:vAlign w:val="bottom"/>
          </w:tcPr>
          <w:p w14:paraId="479B6C0D" w14:textId="173C748A" w:rsidR="00F96509" w:rsidRPr="00884B00" w:rsidRDefault="00F96509" w:rsidP="00CE4E4E">
            <w:pPr>
              <w:rPr>
                <w:noProof/>
                <w:color w:val="000000"/>
              </w:rPr>
            </w:pPr>
            <w:r w:rsidRPr="00884B00">
              <w:rPr>
                <w:noProof/>
                <w:color w:val="000000"/>
              </w:rPr>
              <w:t>Institutul European de Inovare și Tehnologie (EIT)</w:t>
            </w:r>
            <w:r w:rsidRPr="00884B00">
              <w:rPr>
                <w:rStyle w:val="FootnoteReference"/>
                <w:noProof/>
                <w:color w:val="000000"/>
              </w:rPr>
              <w:footnoteReference w:id="5"/>
            </w:r>
          </w:p>
        </w:tc>
        <w:tc>
          <w:tcPr>
            <w:tcW w:w="992" w:type="dxa"/>
            <w:tcBorders>
              <w:top w:val="single" w:sz="4" w:space="0" w:color="auto"/>
              <w:bottom w:val="single" w:sz="4" w:space="0" w:color="auto"/>
            </w:tcBorders>
            <w:noWrap/>
          </w:tcPr>
          <w:p w14:paraId="308D01BF" w14:textId="77777777" w:rsidR="00F96509" w:rsidRPr="00884B00" w:rsidDel="009C76E0" w:rsidRDefault="00F96509" w:rsidP="00CE4E4E">
            <w:pPr>
              <w:rPr>
                <w:noProof/>
              </w:rPr>
            </w:pPr>
            <w:r w:rsidRPr="00884B00">
              <w:rPr>
                <w:noProof/>
              </w:rPr>
              <w:t>40</w:t>
            </w:r>
          </w:p>
        </w:tc>
        <w:tc>
          <w:tcPr>
            <w:tcW w:w="850" w:type="dxa"/>
            <w:tcBorders>
              <w:top w:val="single" w:sz="4" w:space="0" w:color="auto"/>
              <w:bottom w:val="single" w:sz="4" w:space="0" w:color="auto"/>
            </w:tcBorders>
            <w:noWrap/>
          </w:tcPr>
          <w:p w14:paraId="2C88B9C1" w14:textId="77777777" w:rsidR="00F96509" w:rsidRPr="00884B00" w:rsidRDefault="00F96509" w:rsidP="00CE4E4E">
            <w:pPr>
              <w:rPr>
                <w:noProof/>
              </w:rPr>
            </w:pPr>
            <w:r w:rsidRPr="00884B00">
              <w:rPr>
                <w:noProof/>
              </w:rPr>
              <w:t>36</w:t>
            </w:r>
          </w:p>
        </w:tc>
        <w:tc>
          <w:tcPr>
            <w:tcW w:w="1134" w:type="dxa"/>
            <w:tcBorders>
              <w:top w:val="single" w:sz="4" w:space="0" w:color="auto"/>
              <w:bottom w:val="single" w:sz="4" w:space="0" w:color="auto"/>
            </w:tcBorders>
            <w:noWrap/>
          </w:tcPr>
          <w:p w14:paraId="144AF1E4" w14:textId="77777777" w:rsidR="00F96509" w:rsidRPr="00884B00" w:rsidRDefault="00F96509" w:rsidP="00CE4E4E">
            <w:pPr>
              <w:rPr>
                <w:noProof/>
              </w:rPr>
            </w:pPr>
            <w:r w:rsidRPr="00884B00">
              <w:rPr>
                <w:noProof/>
              </w:rPr>
              <w:t>90 %</w:t>
            </w:r>
          </w:p>
        </w:tc>
        <w:tc>
          <w:tcPr>
            <w:tcW w:w="1134" w:type="dxa"/>
            <w:tcBorders>
              <w:top w:val="single" w:sz="4" w:space="0" w:color="auto"/>
              <w:left w:val="nil"/>
              <w:bottom w:val="single" w:sz="4" w:space="0" w:color="auto"/>
              <w:right w:val="single" w:sz="4" w:space="0" w:color="auto"/>
            </w:tcBorders>
            <w:noWrap/>
          </w:tcPr>
          <w:p w14:paraId="1A2E63F7" w14:textId="77777777" w:rsidR="00F96509" w:rsidRPr="00884B00" w:rsidRDefault="00F96509" w:rsidP="00CE4E4E">
            <w:pPr>
              <w:rPr>
                <w:noProof/>
              </w:rPr>
            </w:pPr>
            <w:r w:rsidRPr="00884B00">
              <w:rPr>
                <w:noProof/>
              </w:rPr>
              <w:t>100 %</w:t>
            </w:r>
          </w:p>
        </w:tc>
        <w:tc>
          <w:tcPr>
            <w:tcW w:w="993" w:type="dxa"/>
            <w:tcBorders>
              <w:top w:val="single" w:sz="4" w:space="0" w:color="auto"/>
              <w:left w:val="nil"/>
              <w:bottom w:val="single" w:sz="4" w:space="0" w:color="auto"/>
              <w:right w:val="single" w:sz="4" w:space="0" w:color="auto"/>
            </w:tcBorders>
          </w:tcPr>
          <w:p w14:paraId="00BDADB0" w14:textId="77777777" w:rsidR="00F96509" w:rsidRPr="00884B00" w:rsidRDefault="00F96509" w:rsidP="00CE4E4E">
            <w:pPr>
              <w:rPr>
                <w:noProof/>
              </w:rPr>
            </w:pPr>
            <w:r w:rsidRPr="00884B00">
              <w:rPr>
                <w:noProof/>
              </w:rPr>
              <w:t>35</w:t>
            </w:r>
          </w:p>
        </w:tc>
        <w:tc>
          <w:tcPr>
            <w:tcW w:w="1134" w:type="dxa"/>
            <w:tcBorders>
              <w:top w:val="single" w:sz="4" w:space="0" w:color="auto"/>
              <w:left w:val="single" w:sz="4" w:space="0" w:color="auto"/>
              <w:bottom w:val="single" w:sz="4" w:space="0" w:color="auto"/>
              <w:right w:val="single" w:sz="4" w:space="0" w:color="auto"/>
            </w:tcBorders>
          </w:tcPr>
          <w:p w14:paraId="07BCD9D6" w14:textId="77777777" w:rsidR="00F96509" w:rsidRPr="00884B00" w:rsidRDefault="00F96509" w:rsidP="00CE4E4E">
            <w:pPr>
              <w:rPr>
                <w:noProof/>
              </w:rPr>
            </w:pPr>
            <w:r w:rsidRPr="00884B00">
              <w:rPr>
                <w:noProof/>
              </w:rPr>
              <w:t>2 115</w:t>
            </w:r>
          </w:p>
        </w:tc>
        <w:tc>
          <w:tcPr>
            <w:tcW w:w="1417" w:type="dxa"/>
            <w:tcBorders>
              <w:top w:val="single" w:sz="4" w:space="0" w:color="auto"/>
              <w:left w:val="single" w:sz="4" w:space="0" w:color="auto"/>
              <w:bottom w:val="single" w:sz="4" w:space="0" w:color="auto"/>
              <w:right w:val="single" w:sz="4" w:space="0" w:color="auto"/>
            </w:tcBorders>
          </w:tcPr>
          <w:p w14:paraId="72FD9040" w14:textId="77777777" w:rsidR="00F96509" w:rsidRPr="00884B00" w:rsidRDefault="00F96509" w:rsidP="00CE4E4E">
            <w:pPr>
              <w:rPr>
                <w:noProof/>
              </w:rPr>
            </w:pPr>
            <w:r w:rsidRPr="00884B00">
              <w:rPr>
                <w:noProof/>
              </w:rPr>
              <w:t>60,4</w:t>
            </w:r>
          </w:p>
        </w:tc>
      </w:tr>
      <w:tr w:rsidR="00456887" w:rsidRPr="00884B00" w14:paraId="5A5C21B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38BA33A5" w14:textId="77777777" w:rsidR="00F96509" w:rsidRPr="00884B00" w:rsidRDefault="00F96509" w:rsidP="00CE4E4E">
            <w:pPr>
              <w:rPr>
                <w:b/>
                <w:noProof/>
                <w:color w:val="000000"/>
              </w:rPr>
            </w:pPr>
            <w:r w:rsidRPr="00884B00">
              <w:rPr>
                <w:b/>
                <w:noProof/>
                <w:color w:val="000000"/>
              </w:rPr>
              <w:t>Extinderea participării și consolidarea Spațiului european de cercetare</w:t>
            </w:r>
          </w:p>
        </w:tc>
      </w:tr>
      <w:tr w:rsidR="005C3BF9" w:rsidRPr="00884B00" w14:paraId="24FC4454" w14:textId="77777777">
        <w:trPr>
          <w:trHeight w:val="246"/>
        </w:trPr>
        <w:tc>
          <w:tcPr>
            <w:tcW w:w="2553" w:type="dxa"/>
            <w:tcBorders>
              <w:top w:val="single" w:sz="4" w:space="0" w:color="auto"/>
              <w:bottom w:val="single" w:sz="4" w:space="0" w:color="auto"/>
            </w:tcBorders>
            <w:noWrap/>
            <w:vAlign w:val="bottom"/>
            <w:hideMark/>
          </w:tcPr>
          <w:p w14:paraId="1B87904E" w14:textId="77777777" w:rsidR="00F96509" w:rsidRPr="00884B00" w:rsidRDefault="00F96509" w:rsidP="00CE4E4E">
            <w:pPr>
              <w:rPr>
                <w:noProof/>
                <w:color w:val="000000"/>
              </w:rPr>
            </w:pPr>
            <w:r w:rsidRPr="00884B00">
              <w:rPr>
                <w:noProof/>
                <w:color w:val="000000"/>
              </w:rPr>
              <w:t>Extinderea participării și răspândirea excelenței</w:t>
            </w:r>
          </w:p>
        </w:tc>
        <w:tc>
          <w:tcPr>
            <w:tcW w:w="992" w:type="dxa"/>
            <w:tcBorders>
              <w:top w:val="single" w:sz="4" w:space="0" w:color="auto"/>
              <w:bottom w:val="single" w:sz="4" w:space="0" w:color="auto"/>
            </w:tcBorders>
            <w:noWrap/>
          </w:tcPr>
          <w:p w14:paraId="3AB7B3BD" w14:textId="77777777" w:rsidR="00F96509" w:rsidRPr="00884B00" w:rsidRDefault="00F96509" w:rsidP="00CE4E4E">
            <w:pPr>
              <w:rPr>
                <w:noProof/>
                <w:color w:val="000000"/>
              </w:rPr>
            </w:pPr>
            <w:r w:rsidRPr="00884B00">
              <w:rPr>
                <w:noProof/>
              </w:rPr>
              <w:t>3 165</w:t>
            </w:r>
          </w:p>
        </w:tc>
        <w:tc>
          <w:tcPr>
            <w:tcW w:w="850" w:type="dxa"/>
            <w:tcBorders>
              <w:top w:val="single" w:sz="4" w:space="0" w:color="auto"/>
              <w:bottom w:val="single" w:sz="4" w:space="0" w:color="auto"/>
            </w:tcBorders>
            <w:noWrap/>
          </w:tcPr>
          <w:p w14:paraId="3477245D" w14:textId="77777777" w:rsidR="00F96509" w:rsidRPr="00884B00" w:rsidRDefault="00F96509" w:rsidP="00CE4E4E">
            <w:pPr>
              <w:rPr>
                <w:noProof/>
                <w:color w:val="000000"/>
              </w:rPr>
            </w:pPr>
            <w:r w:rsidRPr="00884B00">
              <w:rPr>
                <w:noProof/>
              </w:rPr>
              <w:t>831</w:t>
            </w:r>
          </w:p>
        </w:tc>
        <w:tc>
          <w:tcPr>
            <w:tcW w:w="1134" w:type="dxa"/>
            <w:tcBorders>
              <w:top w:val="single" w:sz="4" w:space="0" w:color="auto"/>
              <w:bottom w:val="single" w:sz="4" w:space="0" w:color="auto"/>
            </w:tcBorders>
            <w:noWrap/>
          </w:tcPr>
          <w:p w14:paraId="59BAE14B" w14:textId="77777777" w:rsidR="00F96509" w:rsidRPr="00884B00" w:rsidRDefault="00F96509" w:rsidP="00CE4E4E">
            <w:pPr>
              <w:rPr>
                <w:noProof/>
                <w:color w:val="000000"/>
              </w:rPr>
            </w:pPr>
            <w:r w:rsidRPr="00884B00">
              <w:rPr>
                <w:noProof/>
              </w:rPr>
              <w:t>26 %</w:t>
            </w:r>
          </w:p>
        </w:tc>
        <w:tc>
          <w:tcPr>
            <w:tcW w:w="1134" w:type="dxa"/>
            <w:tcBorders>
              <w:top w:val="single" w:sz="4" w:space="0" w:color="auto"/>
              <w:left w:val="nil"/>
              <w:bottom w:val="single" w:sz="4" w:space="0" w:color="auto"/>
              <w:right w:val="single" w:sz="4" w:space="0" w:color="auto"/>
            </w:tcBorders>
            <w:noWrap/>
          </w:tcPr>
          <w:p w14:paraId="7161EE75" w14:textId="77777777" w:rsidR="00F96509" w:rsidRPr="00884B00" w:rsidRDefault="00F96509" w:rsidP="00CE4E4E">
            <w:pPr>
              <w:rPr>
                <w:noProof/>
                <w:color w:val="000000"/>
              </w:rPr>
            </w:pPr>
            <w:r w:rsidRPr="00884B00">
              <w:rPr>
                <w:noProof/>
              </w:rPr>
              <w:t>77 %</w:t>
            </w:r>
          </w:p>
        </w:tc>
        <w:tc>
          <w:tcPr>
            <w:tcW w:w="993" w:type="dxa"/>
            <w:tcBorders>
              <w:top w:val="single" w:sz="4" w:space="0" w:color="auto"/>
              <w:left w:val="nil"/>
              <w:bottom w:val="single" w:sz="4" w:space="0" w:color="auto"/>
              <w:right w:val="single" w:sz="4" w:space="0" w:color="auto"/>
            </w:tcBorders>
          </w:tcPr>
          <w:p w14:paraId="5505F424" w14:textId="77777777" w:rsidR="00F96509" w:rsidRPr="00884B00" w:rsidRDefault="00F96509" w:rsidP="00CE4E4E">
            <w:pPr>
              <w:rPr>
                <w:noProof/>
                <w:color w:val="000000"/>
              </w:rPr>
            </w:pPr>
            <w:r w:rsidRPr="00884B00">
              <w:rPr>
                <w:noProof/>
              </w:rPr>
              <w:t>657</w:t>
            </w:r>
          </w:p>
        </w:tc>
        <w:tc>
          <w:tcPr>
            <w:tcW w:w="1134" w:type="dxa"/>
            <w:tcBorders>
              <w:top w:val="single" w:sz="4" w:space="0" w:color="auto"/>
              <w:left w:val="single" w:sz="4" w:space="0" w:color="auto"/>
              <w:bottom w:val="single" w:sz="4" w:space="0" w:color="auto"/>
              <w:right w:val="single" w:sz="4" w:space="0" w:color="auto"/>
            </w:tcBorders>
          </w:tcPr>
          <w:p w14:paraId="6073E9CF" w14:textId="77777777" w:rsidR="00F96509" w:rsidRPr="00884B00" w:rsidRDefault="00F96509" w:rsidP="00CE4E4E">
            <w:pPr>
              <w:rPr>
                <w:noProof/>
                <w:color w:val="000000"/>
              </w:rPr>
            </w:pPr>
            <w:r w:rsidRPr="00884B00">
              <w:rPr>
                <w:noProof/>
              </w:rPr>
              <w:t>1 487</w:t>
            </w:r>
          </w:p>
        </w:tc>
        <w:tc>
          <w:tcPr>
            <w:tcW w:w="1417" w:type="dxa"/>
            <w:tcBorders>
              <w:top w:val="single" w:sz="4" w:space="0" w:color="auto"/>
              <w:left w:val="single" w:sz="4" w:space="0" w:color="auto"/>
              <w:bottom w:val="single" w:sz="4" w:space="0" w:color="auto"/>
              <w:right w:val="single" w:sz="4" w:space="0" w:color="auto"/>
            </w:tcBorders>
          </w:tcPr>
          <w:p w14:paraId="59DD9725" w14:textId="77777777" w:rsidR="00F96509" w:rsidRPr="00884B00" w:rsidRDefault="00F96509" w:rsidP="00CE4E4E">
            <w:pPr>
              <w:rPr>
                <w:noProof/>
                <w:color w:val="000000"/>
              </w:rPr>
            </w:pPr>
            <w:r w:rsidRPr="00884B00">
              <w:rPr>
                <w:noProof/>
              </w:rPr>
              <w:t>2,3</w:t>
            </w:r>
          </w:p>
        </w:tc>
      </w:tr>
      <w:tr w:rsidR="005C3BF9" w:rsidRPr="00884B00" w14:paraId="10013988" w14:textId="77777777">
        <w:trPr>
          <w:trHeight w:val="246"/>
        </w:trPr>
        <w:tc>
          <w:tcPr>
            <w:tcW w:w="2553" w:type="dxa"/>
            <w:tcBorders>
              <w:top w:val="single" w:sz="4" w:space="0" w:color="auto"/>
              <w:bottom w:val="single" w:sz="4" w:space="0" w:color="auto"/>
            </w:tcBorders>
            <w:noWrap/>
            <w:vAlign w:val="bottom"/>
            <w:hideMark/>
          </w:tcPr>
          <w:p w14:paraId="7CD614D7" w14:textId="054F7F22" w:rsidR="00F96509" w:rsidRPr="00884B00" w:rsidRDefault="00F96509" w:rsidP="00CE4E4E">
            <w:pPr>
              <w:rPr>
                <w:noProof/>
                <w:color w:val="000000"/>
              </w:rPr>
            </w:pPr>
            <w:r w:rsidRPr="00884B00">
              <w:rPr>
                <w:noProof/>
                <w:color w:val="000000"/>
              </w:rPr>
              <w:t>Reformarea și consolidarea sistemului european de cercetare și inovare</w:t>
            </w:r>
          </w:p>
        </w:tc>
        <w:tc>
          <w:tcPr>
            <w:tcW w:w="992" w:type="dxa"/>
            <w:tcBorders>
              <w:top w:val="single" w:sz="4" w:space="0" w:color="auto"/>
              <w:bottom w:val="single" w:sz="4" w:space="0" w:color="auto"/>
            </w:tcBorders>
            <w:noWrap/>
          </w:tcPr>
          <w:p w14:paraId="3BEA8380" w14:textId="77777777" w:rsidR="00F96509" w:rsidRPr="00884B00" w:rsidRDefault="00F96509" w:rsidP="00CE4E4E">
            <w:pPr>
              <w:rPr>
                <w:noProof/>
                <w:color w:val="000000"/>
              </w:rPr>
            </w:pPr>
            <w:r w:rsidRPr="00884B00">
              <w:rPr>
                <w:noProof/>
              </w:rPr>
              <w:t>374</w:t>
            </w:r>
          </w:p>
        </w:tc>
        <w:tc>
          <w:tcPr>
            <w:tcW w:w="850" w:type="dxa"/>
            <w:tcBorders>
              <w:top w:val="single" w:sz="4" w:space="0" w:color="auto"/>
              <w:bottom w:val="single" w:sz="4" w:space="0" w:color="auto"/>
            </w:tcBorders>
            <w:noWrap/>
          </w:tcPr>
          <w:p w14:paraId="2EC3A808" w14:textId="77777777" w:rsidR="00F96509" w:rsidRPr="00884B00" w:rsidRDefault="00F96509" w:rsidP="00CE4E4E">
            <w:pPr>
              <w:rPr>
                <w:noProof/>
                <w:color w:val="000000"/>
              </w:rPr>
            </w:pPr>
            <w:r w:rsidRPr="00884B00">
              <w:rPr>
                <w:noProof/>
              </w:rPr>
              <w:t>109</w:t>
            </w:r>
          </w:p>
        </w:tc>
        <w:tc>
          <w:tcPr>
            <w:tcW w:w="1134" w:type="dxa"/>
            <w:tcBorders>
              <w:top w:val="single" w:sz="4" w:space="0" w:color="auto"/>
              <w:bottom w:val="single" w:sz="4" w:space="0" w:color="auto"/>
            </w:tcBorders>
            <w:noWrap/>
          </w:tcPr>
          <w:p w14:paraId="23120F47" w14:textId="77777777" w:rsidR="00F96509" w:rsidRPr="00884B00" w:rsidRDefault="00F96509" w:rsidP="00CE4E4E">
            <w:pPr>
              <w:rPr>
                <w:noProof/>
                <w:color w:val="000000"/>
              </w:rPr>
            </w:pPr>
            <w:r w:rsidRPr="00884B00">
              <w:rPr>
                <w:noProof/>
              </w:rPr>
              <w:t>29 %</w:t>
            </w:r>
          </w:p>
        </w:tc>
        <w:tc>
          <w:tcPr>
            <w:tcW w:w="1134" w:type="dxa"/>
            <w:tcBorders>
              <w:top w:val="single" w:sz="4" w:space="0" w:color="auto"/>
              <w:left w:val="nil"/>
              <w:bottom w:val="single" w:sz="4" w:space="0" w:color="auto"/>
              <w:right w:val="single" w:sz="4" w:space="0" w:color="auto"/>
            </w:tcBorders>
            <w:noWrap/>
          </w:tcPr>
          <w:p w14:paraId="06E0DE81" w14:textId="77777777" w:rsidR="00F96509" w:rsidRPr="00884B00" w:rsidRDefault="00F96509" w:rsidP="00CE4E4E">
            <w:pPr>
              <w:rPr>
                <w:noProof/>
                <w:color w:val="000000"/>
              </w:rPr>
            </w:pPr>
            <w:r w:rsidRPr="00884B00">
              <w:rPr>
                <w:noProof/>
              </w:rPr>
              <w:t>69 %</w:t>
            </w:r>
          </w:p>
        </w:tc>
        <w:tc>
          <w:tcPr>
            <w:tcW w:w="993" w:type="dxa"/>
            <w:tcBorders>
              <w:top w:val="single" w:sz="4" w:space="0" w:color="auto"/>
              <w:left w:val="nil"/>
              <w:bottom w:val="single" w:sz="4" w:space="0" w:color="auto"/>
              <w:right w:val="single" w:sz="4" w:space="0" w:color="auto"/>
            </w:tcBorders>
          </w:tcPr>
          <w:p w14:paraId="7BC4A7D1" w14:textId="77777777" w:rsidR="00F96509" w:rsidRPr="00884B00" w:rsidRDefault="00F96509" w:rsidP="00CE4E4E">
            <w:pPr>
              <w:rPr>
                <w:noProof/>
                <w:color w:val="000000"/>
              </w:rPr>
            </w:pPr>
            <w:r w:rsidRPr="00884B00">
              <w:rPr>
                <w:noProof/>
              </w:rPr>
              <w:t>110</w:t>
            </w:r>
          </w:p>
        </w:tc>
        <w:tc>
          <w:tcPr>
            <w:tcW w:w="1134" w:type="dxa"/>
            <w:tcBorders>
              <w:top w:val="single" w:sz="4" w:space="0" w:color="auto"/>
              <w:left w:val="single" w:sz="4" w:space="0" w:color="auto"/>
              <w:bottom w:val="single" w:sz="4" w:space="0" w:color="auto"/>
              <w:right w:val="single" w:sz="4" w:space="0" w:color="auto"/>
            </w:tcBorders>
          </w:tcPr>
          <w:p w14:paraId="4266FC87" w14:textId="77777777" w:rsidR="00F96509" w:rsidRPr="00884B00" w:rsidRDefault="00F96509" w:rsidP="00CE4E4E">
            <w:pPr>
              <w:rPr>
                <w:noProof/>
                <w:color w:val="000000"/>
              </w:rPr>
            </w:pPr>
            <w:r w:rsidRPr="00884B00">
              <w:rPr>
                <w:noProof/>
              </w:rPr>
              <w:t>236</w:t>
            </w:r>
          </w:p>
        </w:tc>
        <w:tc>
          <w:tcPr>
            <w:tcW w:w="1417" w:type="dxa"/>
            <w:tcBorders>
              <w:top w:val="single" w:sz="4" w:space="0" w:color="auto"/>
              <w:left w:val="single" w:sz="4" w:space="0" w:color="auto"/>
              <w:bottom w:val="single" w:sz="4" w:space="0" w:color="auto"/>
              <w:right w:val="single" w:sz="4" w:space="0" w:color="auto"/>
            </w:tcBorders>
          </w:tcPr>
          <w:p w14:paraId="03F2ADC6" w14:textId="77777777" w:rsidR="00F96509" w:rsidRPr="00884B00" w:rsidRDefault="00F96509" w:rsidP="00CE4E4E">
            <w:pPr>
              <w:rPr>
                <w:noProof/>
                <w:color w:val="000000"/>
              </w:rPr>
            </w:pPr>
            <w:r w:rsidRPr="00884B00">
              <w:rPr>
                <w:noProof/>
              </w:rPr>
              <w:t>2,1</w:t>
            </w:r>
          </w:p>
        </w:tc>
      </w:tr>
      <w:tr w:rsidR="00D336A8" w:rsidRPr="00884B00" w14:paraId="37705C96" w14:textId="77777777">
        <w:trPr>
          <w:trHeight w:val="246"/>
        </w:trPr>
        <w:tc>
          <w:tcPr>
            <w:tcW w:w="2553" w:type="dxa"/>
            <w:tcBorders>
              <w:top w:val="single" w:sz="4" w:space="0" w:color="auto"/>
              <w:bottom w:val="single" w:sz="4" w:space="0" w:color="auto"/>
            </w:tcBorders>
            <w:shd w:val="clear" w:color="auto" w:fill="BFBFBF" w:themeFill="background1" w:themeFillShade="BF"/>
            <w:noWrap/>
            <w:vAlign w:val="bottom"/>
          </w:tcPr>
          <w:p w14:paraId="1A08DD84" w14:textId="77777777" w:rsidR="00F96509" w:rsidRPr="00884B00" w:rsidRDefault="00F96509" w:rsidP="00CE4E4E">
            <w:pPr>
              <w:rPr>
                <w:b/>
                <w:noProof/>
                <w:color w:val="000000"/>
              </w:rPr>
            </w:pPr>
            <w:r w:rsidRPr="00884B00">
              <w:rPr>
                <w:b/>
                <w:noProof/>
                <w:color w:val="000000"/>
              </w:rPr>
              <w:t>Total pentru programul Orizont Europa</w:t>
            </w:r>
          </w:p>
          <w:p w14:paraId="6126D2E3" w14:textId="77777777" w:rsidR="00F96509" w:rsidRPr="00884B00" w:rsidRDefault="00F96509" w:rsidP="00CE4E4E">
            <w:pPr>
              <w:rPr>
                <w:b/>
                <w:noProof/>
                <w:color w:val="000000"/>
              </w:rPr>
            </w:pPr>
          </w:p>
        </w:tc>
        <w:tc>
          <w:tcPr>
            <w:tcW w:w="992" w:type="dxa"/>
            <w:tcBorders>
              <w:top w:val="single" w:sz="4" w:space="0" w:color="auto"/>
              <w:bottom w:val="single" w:sz="4" w:space="0" w:color="auto"/>
            </w:tcBorders>
            <w:shd w:val="clear" w:color="auto" w:fill="BFBFBF" w:themeFill="background1" w:themeFillShade="BF"/>
            <w:noWrap/>
          </w:tcPr>
          <w:p w14:paraId="297548AD" w14:textId="77777777" w:rsidR="00F96509" w:rsidRPr="00884B00" w:rsidRDefault="00F96509" w:rsidP="00CE4E4E">
            <w:pPr>
              <w:rPr>
                <w:b/>
                <w:bCs/>
                <w:noProof/>
                <w:color w:val="000000" w:themeColor="text1"/>
              </w:rPr>
            </w:pPr>
            <w:r w:rsidRPr="00884B00">
              <w:rPr>
                <w:b/>
                <w:noProof/>
              </w:rPr>
              <w:t>148 884</w:t>
            </w:r>
          </w:p>
        </w:tc>
        <w:tc>
          <w:tcPr>
            <w:tcW w:w="850" w:type="dxa"/>
            <w:tcBorders>
              <w:top w:val="single" w:sz="4" w:space="0" w:color="auto"/>
              <w:bottom w:val="single" w:sz="4" w:space="0" w:color="auto"/>
            </w:tcBorders>
            <w:shd w:val="clear" w:color="auto" w:fill="BFBFBF" w:themeFill="background1" w:themeFillShade="BF"/>
            <w:noWrap/>
          </w:tcPr>
          <w:p w14:paraId="1371D224" w14:textId="77777777" w:rsidR="00F96509" w:rsidRPr="00884B00" w:rsidRDefault="00F96509" w:rsidP="00CE4E4E">
            <w:pPr>
              <w:rPr>
                <w:b/>
                <w:bCs/>
                <w:noProof/>
                <w:color w:val="000000" w:themeColor="text1"/>
              </w:rPr>
            </w:pPr>
            <w:r w:rsidRPr="00884B00">
              <w:rPr>
                <w:b/>
                <w:noProof/>
              </w:rPr>
              <w:t>21 329</w:t>
            </w:r>
          </w:p>
        </w:tc>
        <w:tc>
          <w:tcPr>
            <w:tcW w:w="1134" w:type="dxa"/>
            <w:tcBorders>
              <w:top w:val="single" w:sz="4" w:space="0" w:color="auto"/>
              <w:bottom w:val="single" w:sz="4" w:space="0" w:color="auto"/>
            </w:tcBorders>
            <w:shd w:val="clear" w:color="auto" w:fill="BFBFBF" w:themeFill="background1" w:themeFillShade="BF"/>
            <w:noWrap/>
          </w:tcPr>
          <w:p w14:paraId="109778E3" w14:textId="77777777" w:rsidR="00F96509" w:rsidRPr="00884B00" w:rsidRDefault="00F96509" w:rsidP="00CE4E4E">
            <w:pPr>
              <w:rPr>
                <w:b/>
                <w:bCs/>
                <w:noProof/>
                <w:color w:val="000000" w:themeColor="text1"/>
              </w:rPr>
            </w:pPr>
            <w:r w:rsidRPr="00884B00">
              <w:rPr>
                <w:b/>
                <w:noProof/>
              </w:rPr>
              <w:t>14 %</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tcPr>
          <w:p w14:paraId="1E054CB9" w14:textId="77777777" w:rsidR="00F96509" w:rsidRPr="00884B00" w:rsidRDefault="00F96509" w:rsidP="00CE4E4E">
            <w:pPr>
              <w:rPr>
                <w:b/>
                <w:bCs/>
                <w:noProof/>
                <w:color w:val="000000" w:themeColor="text1"/>
              </w:rPr>
            </w:pPr>
            <w:r w:rsidRPr="00884B00">
              <w:rPr>
                <w:b/>
                <w:noProof/>
              </w:rPr>
              <w:t>57 %</w:t>
            </w:r>
          </w:p>
        </w:tc>
        <w:tc>
          <w:tcPr>
            <w:tcW w:w="993" w:type="dxa"/>
            <w:tcBorders>
              <w:top w:val="single" w:sz="4" w:space="0" w:color="auto"/>
              <w:left w:val="nil"/>
              <w:bottom w:val="single" w:sz="4" w:space="0" w:color="auto"/>
              <w:right w:val="single" w:sz="4" w:space="0" w:color="auto"/>
            </w:tcBorders>
            <w:shd w:val="clear" w:color="auto" w:fill="BFBFBF" w:themeFill="background1" w:themeFillShade="BF"/>
          </w:tcPr>
          <w:p w14:paraId="4C5D07C9" w14:textId="77777777" w:rsidR="00F96509" w:rsidRPr="00884B00" w:rsidRDefault="00F96509" w:rsidP="00CE4E4E">
            <w:pPr>
              <w:rPr>
                <w:b/>
                <w:bCs/>
                <w:noProof/>
                <w:color w:val="000000" w:themeColor="text1"/>
              </w:rPr>
            </w:pPr>
            <w:r w:rsidRPr="00884B00">
              <w:rPr>
                <w:b/>
                <w:noProof/>
              </w:rPr>
              <w:t>19 456</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0074CD" w14:textId="77777777" w:rsidR="00F96509" w:rsidRPr="00884B00" w:rsidRDefault="00F96509" w:rsidP="00CE4E4E">
            <w:pPr>
              <w:rPr>
                <w:b/>
                <w:bCs/>
                <w:noProof/>
                <w:color w:val="000000"/>
              </w:rPr>
            </w:pPr>
            <w:r w:rsidRPr="00884B00">
              <w:rPr>
                <w:b/>
                <w:noProof/>
              </w:rPr>
              <w:t>52 760</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8D9A97" w14:textId="77777777" w:rsidR="00F96509" w:rsidRPr="00884B00" w:rsidRDefault="00F96509" w:rsidP="00CE4E4E">
            <w:pPr>
              <w:keepNext/>
              <w:rPr>
                <w:b/>
                <w:bCs/>
                <w:noProof/>
                <w:color w:val="000000"/>
              </w:rPr>
            </w:pPr>
            <w:r w:rsidRPr="00884B00">
              <w:rPr>
                <w:b/>
                <w:noProof/>
              </w:rPr>
              <w:t>2,7</w:t>
            </w:r>
          </w:p>
        </w:tc>
      </w:tr>
    </w:tbl>
    <w:p w14:paraId="53046023" w14:textId="2F81D8D1" w:rsidR="00F96509" w:rsidRPr="00884B00" w:rsidRDefault="00F96509" w:rsidP="00C52261">
      <w:pPr>
        <w:pStyle w:val="Caption"/>
        <w:spacing w:before="120" w:after="120"/>
        <w:rPr>
          <w:noProof/>
          <w:sz w:val="20"/>
        </w:rPr>
      </w:pPr>
      <w:r w:rsidRPr="00884B00">
        <w:rPr>
          <w:noProof/>
          <w:sz w:val="20"/>
        </w:rPr>
        <w:t xml:space="preserve">Tabelul </w:t>
      </w:r>
      <w:r w:rsidRPr="00884B00">
        <w:rPr>
          <w:noProof/>
          <w:sz w:val="20"/>
        </w:rPr>
        <w:fldChar w:fldCharType="begin"/>
      </w:r>
      <w:r w:rsidRPr="00884B00">
        <w:rPr>
          <w:noProof/>
          <w:sz w:val="20"/>
        </w:rPr>
        <w:instrText xml:space="preserve"> SEQ Table \* ARABIC </w:instrText>
      </w:r>
      <w:r w:rsidRPr="00884B00">
        <w:rPr>
          <w:noProof/>
          <w:sz w:val="20"/>
        </w:rPr>
        <w:fldChar w:fldCharType="separate"/>
      </w:r>
      <w:r w:rsidRPr="00884B00">
        <w:rPr>
          <w:noProof/>
          <w:sz w:val="20"/>
        </w:rPr>
        <w:t>1</w:t>
      </w:r>
      <w:r w:rsidRPr="00884B00">
        <w:rPr>
          <w:noProof/>
          <w:sz w:val="20"/>
        </w:rPr>
        <w:fldChar w:fldCharType="end"/>
      </w:r>
      <w:r w:rsidRPr="00884B00">
        <w:rPr>
          <w:noProof/>
          <w:sz w:val="20"/>
        </w:rPr>
        <w:t xml:space="preserve"> Propuneri și granturi semnate pentru fiecare parte a programului, în perioada 2021-2025 (Sursa: Tablourile de bord ale propunerilor și proiectelor Orizont Europa, date extrase la 5.1.2026)</w:t>
      </w:r>
    </w:p>
    <w:p w14:paraId="69E90FA1" w14:textId="77777777" w:rsidR="00F96509" w:rsidRPr="00884B00" w:rsidRDefault="00F96509" w:rsidP="699836A2">
      <w:pPr>
        <w:rPr>
          <w:rStyle w:val="Strong"/>
          <w:rFonts w:eastAsiaTheme="minorEastAsia"/>
          <w:noProof/>
        </w:rPr>
      </w:pPr>
      <w:r w:rsidRPr="00884B00">
        <w:rPr>
          <w:rStyle w:val="Strong"/>
          <w:noProof/>
        </w:rPr>
        <w:t>Abordarea priorităților de politică ale UE</w:t>
      </w:r>
    </w:p>
    <w:p w14:paraId="2D09896D" w14:textId="77777777" w:rsidR="00F96509" w:rsidRPr="00884B00" w:rsidRDefault="00F96509" w:rsidP="00CE4E4E">
      <w:pPr>
        <w:rPr>
          <w:i/>
          <w:noProof/>
        </w:rPr>
      </w:pPr>
      <w:r w:rsidRPr="00884B00">
        <w:rPr>
          <w:i/>
          <w:noProof/>
        </w:rPr>
        <w:t>Sursa: Declarația privind performanța programului Orizont Europa</w:t>
      </w:r>
    </w:p>
    <w:p w14:paraId="61E9F0B0" w14:textId="5AB6CFF7" w:rsidR="00F96509" w:rsidRPr="00884B00" w:rsidRDefault="00F96509" w:rsidP="00CE4E4E">
      <w:pPr>
        <w:rPr>
          <w:noProof/>
        </w:rPr>
      </w:pPr>
      <w:r w:rsidRPr="00884B00">
        <w:rPr>
          <w:noProof/>
        </w:rPr>
        <w:t>C&amp;I joacă un rol central în accelerarea tranziției verzi. Până în prezent, programul Orizont Europa este pe drumul cel bun în ceea ce privește îndeplinirea obiectivului său de a utiliza 35 % din cheltuielile alocate pentru combaterea schimbărilor climatice, deși vor fi necesare eforturi suplimentare pentru a atinge obiectivul de a aloca 10 % din cheltuieli pentru biodiversitate pentru perioada 2026-2027.</w:t>
      </w:r>
    </w:p>
    <w:p w14:paraId="66C384D3" w14:textId="6A6F2AF4" w:rsidR="00F96509" w:rsidRPr="00884B00" w:rsidRDefault="00F96509" w:rsidP="00CE4E4E">
      <w:pPr>
        <w:rPr>
          <w:noProof/>
        </w:rPr>
      </w:pPr>
      <w:r w:rsidRPr="00884B00">
        <w:rPr>
          <w:noProof/>
        </w:rPr>
        <w:t xml:space="preserve">În 2025, au fost alocate aproximativ 58,7 milioane EUR, de asemenea, proiectelor al căror obiectiv principal este îmbunătățirea egalității de gen și 1 848 de milioane EUR proiectelor care vor contribui la egalitatea de gen. </w:t>
      </w:r>
    </w:p>
    <w:p w14:paraId="75CB7A46" w14:textId="77777777" w:rsidR="00F96509" w:rsidRPr="00884B00" w:rsidRDefault="00F96509" w:rsidP="00CE4E4E">
      <w:pPr>
        <w:rPr>
          <w:rStyle w:val="Strong"/>
          <w:rFonts w:eastAsiaTheme="minorHAnsi"/>
          <w:noProof/>
        </w:rPr>
      </w:pPr>
      <w:r w:rsidRPr="00884B00">
        <w:rPr>
          <w:rStyle w:val="Strong"/>
          <w:noProof/>
        </w:rPr>
        <w:t>Solicitanți și beneficiari</w:t>
      </w:r>
    </w:p>
    <w:p w14:paraId="1A1ED7A7" w14:textId="6DF7FF72" w:rsidR="00F96509" w:rsidRPr="00884B00" w:rsidRDefault="00F96509" w:rsidP="00CE4E4E">
      <w:pPr>
        <w:rPr>
          <w:i/>
          <w:noProof/>
        </w:rPr>
      </w:pPr>
      <w:r w:rsidRPr="00884B00">
        <w:rPr>
          <w:i/>
          <w:noProof/>
        </w:rPr>
        <w:t>Sursa: Sistemele interne de monitorizare ale Comisiei, 5.1.2026</w:t>
      </w:r>
    </w:p>
    <w:p w14:paraId="2C43DDD6" w14:textId="05626F41" w:rsidR="00F96509" w:rsidRPr="00884B00" w:rsidRDefault="00F96509" w:rsidP="00CE4E4E">
      <w:pPr>
        <w:rPr>
          <w:noProof/>
        </w:rPr>
      </w:pPr>
      <w:r w:rsidRPr="00884B00">
        <w:rPr>
          <w:noProof/>
        </w:rPr>
        <w:t xml:space="preserve">Proiectele semnate în primii cinci ani ai programului implică </w:t>
      </w:r>
      <w:r w:rsidRPr="00884B00">
        <w:rPr>
          <w:b/>
          <w:noProof/>
        </w:rPr>
        <w:t>31 006 participanți distincți</w:t>
      </w:r>
      <w:r w:rsidRPr="00884B00">
        <w:rPr>
          <w:noProof/>
        </w:rPr>
        <w:t xml:space="preserve"> din </w:t>
      </w:r>
      <w:r w:rsidRPr="00884B00">
        <w:rPr>
          <w:b/>
          <w:noProof/>
        </w:rPr>
        <w:t>175 de țări diferite</w:t>
      </w:r>
      <w:r w:rsidRPr="00884B00">
        <w:rPr>
          <w:noProof/>
        </w:rPr>
        <w:t>, inclusiv o participare de 35 %</w:t>
      </w:r>
      <w:r w:rsidRPr="00884B00">
        <w:rPr>
          <w:rStyle w:val="FootnoteReference"/>
          <w:noProof/>
        </w:rPr>
        <w:footnoteReference w:id="6"/>
      </w:r>
      <w:r w:rsidRPr="00884B00">
        <w:rPr>
          <w:noProof/>
        </w:rPr>
        <w:t xml:space="preserve"> din IMM-uri.</w:t>
      </w:r>
      <w:r w:rsidRPr="00884B00">
        <w:rPr>
          <w:b/>
          <w:noProof/>
        </w:rPr>
        <w:t xml:space="preserve"> </w:t>
      </w:r>
      <w:r w:rsidRPr="00884B00">
        <w:rPr>
          <w:noProof/>
        </w:rPr>
        <w:t>În medie, fiecare participant participă la 3,9 proiecte.</w:t>
      </w:r>
    </w:p>
    <w:p w14:paraId="42A22F1D" w14:textId="1A4FF30A" w:rsidR="00F96509" w:rsidRPr="00884B00" w:rsidRDefault="00356A73" w:rsidP="00CE4E4E">
      <w:pPr>
        <w:rPr>
          <w:noProof/>
        </w:rPr>
      </w:pPr>
      <w:r w:rsidRPr="00884B00">
        <w:rPr>
          <w:b/>
          <w:noProof/>
        </w:rPr>
        <w:t>Noii participanți</w:t>
      </w:r>
      <w:r w:rsidRPr="00884B00">
        <w:rPr>
          <w:noProof/>
        </w:rPr>
        <w:t xml:space="preserve"> la program („nou-veniții”) reprezintă 55 % din totalul participanților, comparativ cu 54 % în urmă cu un an. Rata de participare a nou-veniților (și anume numărul mediu de proiecte la care a aderat fiecare participant) este mai mică decât cea a altor participanți (1,2 față de 5). Nou-veniții provin în principal din sectorul privat, mulți fiind IMM-uri, iar până în prezent au primit 16,7 % din totalul finanțării programului Orizont Europa. </w:t>
      </w:r>
    </w:p>
    <w:p w14:paraId="62F6333D" w14:textId="70648044" w:rsidR="00F96509" w:rsidRPr="00884B00" w:rsidRDefault="00F96509" w:rsidP="00CE4E4E">
      <w:pPr>
        <w:rPr>
          <w:noProof/>
        </w:rPr>
      </w:pPr>
      <w:r w:rsidRPr="00884B00">
        <w:rPr>
          <w:noProof/>
        </w:rPr>
        <w:t xml:space="preserve">Cele mai mari proporții de participanți provin de la instituții de învățământ superior (35 %), aceștia primind cea mai mare contribuție financiară (19 miliarde EUR). Entitățile din sectorul privat și organizațiile de cercetare reprezintă 30 % și 22 % din participare și primesc 13,5 miliarde EUR și, respectiv, 14 miliarde EUR. </w:t>
      </w:r>
    </w:p>
    <w:p w14:paraId="1A18A4D9" w14:textId="2E270851" w:rsidR="00F96509" w:rsidRPr="00884B00" w:rsidRDefault="00F96509" w:rsidP="00CE4E4E">
      <w:pPr>
        <w:rPr>
          <w:noProof/>
        </w:rPr>
      </w:pPr>
      <w:r w:rsidRPr="00884B00">
        <w:rPr>
          <w:noProof/>
        </w:rPr>
        <w:t>Participanții din statele membre reprezintă 80 % din totalul cererilor eligibile depuse, iar 19 % provin din țări vizate de extinderea participării. În ansamblu, statelor membre li s-au acordat 47,3 miliarde EUR sau 89,6 % din fonduri. Statele membre vizate de extinderea participării</w:t>
      </w:r>
      <w:r w:rsidRPr="00884B00">
        <w:rPr>
          <w:rStyle w:val="FootnoteReference"/>
          <w:noProof/>
        </w:rPr>
        <w:footnoteReference w:id="7"/>
      </w:r>
      <w:r w:rsidRPr="00884B00">
        <w:rPr>
          <w:noProof/>
        </w:rPr>
        <w:t xml:space="preserve"> au primit 13,1 % din fonduri, o pondere mai mare decât pentru aceleași țări în cadrul programului Orizont 2020. </w:t>
      </w:r>
    </w:p>
    <w:p w14:paraId="3E78CBB5" w14:textId="5A99B134" w:rsidR="00F96509" w:rsidRPr="00884B00" w:rsidRDefault="00D42CB3" w:rsidP="00CE4E4E">
      <w:pPr>
        <w:rPr>
          <w:noProof/>
        </w:rPr>
      </w:pPr>
      <w:r w:rsidRPr="00884B00">
        <w:rPr>
          <w:noProof/>
        </w:rPr>
        <w:t xml:space="preserve">Metoda de raportare pentru țările asociate la programul Orizont Europa a fost adaptată în tabelul de mai jos pentru a reflecta data la care acordul de asociere a intrat în vigoare. </w:t>
      </w: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391"/>
        <w:gridCol w:w="1047"/>
        <w:gridCol w:w="1106"/>
        <w:gridCol w:w="1134"/>
        <w:gridCol w:w="708"/>
        <w:gridCol w:w="1017"/>
        <w:gridCol w:w="1070"/>
      </w:tblGrid>
      <w:tr w:rsidR="00F96509" w:rsidRPr="00884B00" w14:paraId="3AFC7189" w14:textId="77777777" w:rsidTr="5974E4A5">
        <w:trPr>
          <w:trHeight w:val="246"/>
        </w:trPr>
        <w:tc>
          <w:tcPr>
            <w:tcW w:w="2093" w:type="dxa"/>
            <w:tcBorders>
              <w:bottom w:val="single" w:sz="4" w:space="0" w:color="auto"/>
              <w:right w:val="nil"/>
            </w:tcBorders>
            <w:shd w:val="clear" w:color="auto" w:fill="4F81BD"/>
            <w:noWrap/>
            <w:vAlign w:val="center"/>
            <w:hideMark/>
          </w:tcPr>
          <w:p w14:paraId="3B2BC568" w14:textId="773214E1" w:rsidR="00F96509" w:rsidRPr="00884B00" w:rsidRDefault="00F96509" w:rsidP="00BD4295">
            <w:pPr>
              <w:jc w:val="left"/>
              <w:rPr>
                <w:b/>
                <w:bCs/>
                <w:noProof/>
                <w:color w:val="FFFFFF"/>
                <w:sz w:val="20"/>
                <w:szCs w:val="20"/>
              </w:rPr>
            </w:pPr>
            <w:r w:rsidRPr="00884B00">
              <w:rPr>
                <w:b/>
                <w:noProof/>
                <w:color w:val="FFFFFF"/>
                <w:sz w:val="20"/>
              </w:rPr>
              <w:t>Grupa de țări</w:t>
            </w:r>
          </w:p>
        </w:tc>
        <w:tc>
          <w:tcPr>
            <w:tcW w:w="1391" w:type="dxa"/>
            <w:tcBorders>
              <w:left w:val="nil"/>
              <w:bottom w:val="single" w:sz="4" w:space="0" w:color="auto"/>
              <w:right w:val="nil"/>
            </w:tcBorders>
            <w:shd w:val="clear" w:color="auto" w:fill="4F81BD"/>
            <w:noWrap/>
            <w:vAlign w:val="center"/>
            <w:hideMark/>
          </w:tcPr>
          <w:p w14:paraId="1940FAC7" w14:textId="77777777" w:rsidR="00F96509" w:rsidRPr="00884B00" w:rsidRDefault="00F96509" w:rsidP="00BD4295">
            <w:pPr>
              <w:jc w:val="left"/>
              <w:rPr>
                <w:b/>
                <w:bCs/>
                <w:noProof/>
                <w:color w:val="FFFFFF"/>
                <w:sz w:val="20"/>
                <w:szCs w:val="20"/>
              </w:rPr>
            </w:pPr>
            <w:r w:rsidRPr="00884B00">
              <w:rPr>
                <w:b/>
                <w:noProof/>
                <w:color w:val="FFFFFF"/>
                <w:sz w:val="20"/>
              </w:rPr>
              <w:t>Cererile din cadrul propunerilor eligibile</w:t>
            </w:r>
          </w:p>
        </w:tc>
        <w:tc>
          <w:tcPr>
            <w:tcW w:w="1047" w:type="dxa"/>
            <w:tcBorders>
              <w:left w:val="nil"/>
              <w:bottom w:val="single" w:sz="4" w:space="0" w:color="auto"/>
              <w:right w:val="nil"/>
            </w:tcBorders>
            <w:shd w:val="clear" w:color="auto" w:fill="4F81BD"/>
            <w:noWrap/>
            <w:vAlign w:val="center"/>
            <w:hideMark/>
          </w:tcPr>
          <w:p w14:paraId="6CE16F85" w14:textId="575801DC" w:rsidR="00F96509" w:rsidRPr="00884B00" w:rsidRDefault="00F96509" w:rsidP="00BD4295">
            <w:pPr>
              <w:jc w:val="left"/>
              <w:rPr>
                <w:b/>
                <w:bCs/>
                <w:noProof/>
                <w:color w:val="FFFFFF"/>
                <w:sz w:val="20"/>
                <w:szCs w:val="20"/>
              </w:rPr>
            </w:pPr>
            <w:r w:rsidRPr="00884B00">
              <w:rPr>
                <w:b/>
                <w:noProof/>
                <w:color w:val="FFFFFF"/>
                <w:sz w:val="20"/>
              </w:rPr>
              <w:t>% din numărul total de cereri</w:t>
            </w:r>
          </w:p>
        </w:tc>
        <w:tc>
          <w:tcPr>
            <w:tcW w:w="1106" w:type="dxa"/>
            <w:tcBorders>
              <w:left w:val="nil"/>
              <w:bottom w:val="single" w:sz="4" w:space="0" w:color="auto"/>
              <w:right w:val="nil"/>
            </w:tcBorders>
            <w:shd w:val="clear" w:color="auto" w:fill="4F81BD"/>
          </w:tcPr>
          <w:p w14:paraId="2C070A99" w14:textId="07984E05" w:rsidR="00F96509" w:rsidRPr="00884B00" w:rsidRDefault="00F96509" w:rsidP="00BD4295">
            <w:pPr>
              <w:jc w:val="left"/>
              <w:rPr>
                <w:b/>
                <w:bCs/>
                <w:noProof/>
                <w:color w:val="FFFFFF"/>
                <w:sz w:val="20"/>
                <w:szCs w:val="20"/>
              </w:rPr>
            </w:pPr>
            <w:r w:rsidRPr="00884B00">
              <w:rPr>
                <w:b/>
                <w:noProof/>
                <w:color w:val="FFFFFF"/>
                <w:sz w:val="20"/>
              </w:rPr>
              <w:t>Rata de succes a cererilor</w:t>
            </w:r>
          </w:p>
        </w:tc>
        <w:tc>
          <w:tcPr>
            <w:tcW w:w="1134" w:type="dxa"/>
            <w:tcBorders>
              <w:left w:val="nil"/>
              <w:bottom w:val="single" w:sz="4" w:space="0" w:color="auto"/>
              <w:right w:val="nil"/>
            </w:tcBorders>
            <w:shd w:val="clear" w:color="auto" w:fill="4F81BD"/>
            <w:noWrap/>
            <w:vAlign w:val="center"/>
            <w:hideMark/>
          </w:tcPr>
          <w:p w14:paraId="252E5365" w14:textId="77777777" w:rsidR="00F96509" w:rsidRPr="00884B00" w:rsidRDefault="00F96509" w:rsidP="00BD4295">
            <w:pPr>
              <w:jc w:val="left"/>
              <w:rPr>
                <w:b/>
                <w:bCs/>
                <w:noProof/>
                <w:color w:val="FFFFFF"/>
                <w:sz w:val="20"/>
                <w:szCs w:val="20"/>
              </w:rPr>
            </w:pPr>
            <w:r w:rsidRPr="00884B00">
              <w:rPr>
                <w:b/>
                <w:noProof/>
                <w:color w:val="FFFFFF"/>
                <w:sz w:val="20"/>
              </w:rPr>
              <w:t>Participarea la granturi semnate</w:t>
            </w:r>
          </w:p>
        </w:tc>
        <w:tc>
          <w:tcPr>
            <w:tcW w:w="708" w:type="dxa"/>
            <w:tcBorders>
              <w:left w:val="nil"/>
              <w:bottom w:val="single" w:sz="4" w:space="0" w:color="auto"/>
              <w:right w:val="nil"/>
            </w:tcBorders>
            <w:shd w:val="clear" w:color="auto" w:fill="4F81BD"/>
            <w:noWrap/>
            <w:vAlign w:val="center"/>
            <w:hideMark/>
          </w:tcPr>
          <w:p w14:paraId="7D420BED" w14:textId="77777777" w:rsidR="00F96509" w:rsidRPr="00884B00" w:rsidRDefault="00F96509" w:rsidP="00BD4295">
            <w:pPr>
              <w:jc w:val="left"/>
              <w:rPr>
                <w:b/>
                <w:bCs/>
                <w:noProof/>
                <w:color w:val="FFFFFF"/>
                <w:sz w:val="20"/>
                <w:szCs w:val="20"/>
              </w:rPr>
            </w:pPr>
            <w:r w:rsidRPr="00884B00">
              <w:rPr>
                <w:b/>
                <w:noProof/>
                <w:color w:val="FFFFFF"/>
                <w:sz w:val="20"/>
              </w:rPr>
              <w:t>% numărul total de participări</w:t>
            </w:r>
          </w:p>
        </w:tc>
        <w:tc>
          <w:tcPr>
            <w:tcW w:w="1017" w:type="dxa"/>
            <w:tcBorders>
              <w:left w:val="nil"/>
              <w:bottom w:val="single" w:sz="4" w:space="0" w:color="auto"/>
              <w:right w:val="nil"/>
            </w:tcBorders>
            <w:shd w:val="clear" w:color="auto" w:fill="4F81BD"/>
            <w:noWrap/>
            <w:vAlign w:val="center"/>
            <w:hideMark/>
          </w:tcPr>
          <w:p w14:paraId="69D072D0" w14:textId="77777777" w:rsidR="00F96509" w:rsidRPr="00884B00" w:rsidRDefault="00F96509" w:rsidP="00BD4295">
            <w:pPr>
              <w:jc w:val="left"/>
              <w:rPr>
                <w:b/>
                <w:bCs/>
                <w:noProof/>
                <w:color w:val="FFFFFF"/>
                <w:sz w:val="20"/>
                <w:szCs w:val="20"/>
              </w:rPr>
            </w:pPr>
            <w:r w:rsidRPr="00884B00">
              <w:rPr>
                <w:b/>
                <w:noProof/>
                <w:color w:val="FFFFFF"/>
                <w:sz w:val="20"/>
              </w:rPr>
              <w:t>Contribuția UE la granturile semnate (în milioane EUR)</w:t>
            </w:r>
          </w:p>
        </w:tc>
        <w:tc>
          <w:tcPr>
            <w:tcW w:w="1070" w:type="dxa"/>
            <w:tcBorders>
              <w:left w:val="nil"/>
              <w:bottom w:val="single" w:sz="4" w:space="0" w:color="auto"/>
            </w:tcBorders>
            <w:shd w:val="clear" w:color="auto" w:fill="4F81BD"/>
            <w:noWrap/>
            <w:vAlign w:val="center"/>
            <w:hideMark/>
          </w:tcPr>
          <w:p w14:paraId="7CD18F2B" w14:textId="77777777" w:rsidR="00F96509" w:rsidRPr="00884B00" w:rsidRDefault="00F96509" w:rsidP="00BD4295">
            <w:pPr>
              <w:jc w:val="left"/>
              <w:rPr>
                <w:b/>
                <w:bCs/>
                <w:noProof/>
                <w:color w:val="FFFFFF"/>
                <w:sz w:val="20"/>
                <w:szCs w:val="20"/>
              </w:rPr>
            </w:pPr>
            <w:r w:rsidRPr="00884B00">
              <w:rPr>
                <w:b/>
                <w:noProof/>
                <w:color w:val="FFFFFF"/>
                <w:sz w:val="20"/>
              </w:rPr>
              <w:t>% din contribuția totală a UE la granturile semnate</w:t>
            </w:r>
          </w:p>
          <w:p w14:paraId="0E6E5D42" w14:textId="77777777" w:rsidR="00F96509" w:rsidRPr="00884B00" w:rsidRDefault="00F96509" w:rsidP="00BD4295">
            <w:pPr>
              <w:jc w:val="left"/>
              <w:rPr>
                <w:b/>
                <w:bCs/>
                <w:noProof/>
                <w:color w:val="FFFFFF"/>
                <w:sz w:val="20"/>
                <w:szCs w:val="20"/>
              </w:rPr>
            </w:pPr>
          </w:p>
        </w:tc>
      </w:tr>
      <w:tr w:rsidR="00F96509" w:rsidRPr="00884B00" w14:paraId="597A6665" w14:textId="77777777" w:rsidTr="5974E4A5">
        <w:trPr>
          <w:trHeight w:val="246"/>
        </w:trPr>
        <w:tc>
          <w:tcPr>
            <w:tcW w:w="2093" w:type="dxa"/>
            <w:tcBorders>
              <w:top w:val="single" w:sz="4" w:space="0" w:color="auto"/>
              <w:bottom w:val="single" w:sz="4" w:space="0" w:color="auto"/>
            </w:tcBorders>
            <w:noWrap/>
            <w:vAlign w:val="bottom"/>
          </w:tcPr>
          <w:p w14:paraId="019C7655" w14:textId="77777777" w:rsidR="00F96509" w:rsidRPr="00884B00" w:rsidRDefault="00F96509" w:rsidP="00CE4E4E">
            <w:pPr>
              <w:rPr>
                <w:noProof/>
                <w:color w:val="000000"/>
              </w:rPr>
            </w:pPr>
            <w:r w:rsidRPr="00884B00">
              <w:rPr>
                <w:noProof/>
                <w:color w:val="000000"/>
              </w:rPr>
              <w:t>State membre (SM)</w:t>
            </w:r>
          </w:p>
        </w:tc>
        <w:tc>
          <w:tcPr>
            <w:tcW w:w="1391" w:type="dxa"/>
            <w:tcBorders>
              <w:top w:val="single" w:sz="4" w:space="0" w:color="auto"/>
              <w:bottom w:val="single" w:sz="4" w:space="0" w:color="auto"/>
            </w:tcBorders>
            <w:noWrap/>
          </w:tcPr>
          <w:p w14:paraId="6A743B05" w14:textId="77777777" w:rsidR="00F96509" w:rsidRPr="00884B00" w:rsidRDefault="00F96509" w:rsidP="00CE4E4E">
            <w:pPr>
              <w:rPr>
                <w:noProof/>
              </w:rPr>
            </w:pPr>
            <w:r w:rsidRPr="00884B00">
              <w:rPr>
                <w:noProof/>
              </w:rPr>
              <w:t>518 481</w:t>
            </w:r>
          </w:p>
        </w:tc>
        <w:tc>
          <w:tcPr>
            <w:tcW w:w="1047" w:type="dxa"/>
            <w:tcBorders>
              <w:top w:val="single" w:sz="4" w:space="0" w:color="auto"/>
              <w:bottom w:val="single" w:sz="4" w:space="0" w:color="auto"/>
            </w:tcBorders>
            <w:noWrap/>
          </w:tcPr>
          <w:p w14:paraId="08092C1A" w14:textId="77777777" w:rsidR="00F96509" w:rsidRPr="00884B00" w:rsidRDefault="00F96509" w:rsidP="00CE4E4E">
            <w:pPr>
              <w:rPr>
                <w:noProof/>
              </w:rPr>
            </w:pPr>
            <w:r w:rsidRPr="00884B00">
              <w:rPr>
                <w:noProof/>
              </w:rPr>
              <w:t xml:space="preserve">80 % </w:t>
            </w:r>
          </w:p>
        </w:tc>
        <w:tc>
          <w:tcPr>
            <w:tcW w:w="1106" w:type="dxa"/>
            <w:tcBorders>
              <w:top w:val="single" w:sz="4" w:space="0" w:color="auto"/>
              <w:bottom w:val="single" w:sz="4" w:space="0" w:color="auto"/>
            </w:tcBorders>
          </w:tcPr>
          <w:p w14:paraId="62ED94FF" w14:textId="77777777" w:rsidR="00F96509" w:rsidRPr="00884B00" w:rsidRDefault="00F96509" w:rsidP="00CE4E4E">
            <w:pPr>
              <w:rPr>
                <w:noProof/>
              </w:rPr>
            </w:pPr>
            <w:r w:rsidRPr="00884B00">
              <w:rPr>
                <w:noProof/>
              </w:rPr>
              <w:t>18 %</w:t>
            </w:r>
          </w:p>
        </w:tc>
        <w:tc>
          <w:tcPr>
            <w:tcW w:w="1134" w:type="dxa"/>
            <w:tcBorders>
              <w:top w:val="single" w:sz="4" w:space="0" w:color="auto"/>
              <w:bottom w:val="single" w:sz="4" w:space="0" w:color="auto"/>
            </w:tcBorders>
            <w:noWrap/>
          </w:tcPr>
          <w:p w14:paraId="4F79D347" w14:textId="77777777" w:rsidR="00F96509" w:rsidRPr="00884B00" w:rsidRDefault="00F96509" w:rsidP="00CE4E4E">
            <w:pPr>
              <w:rPr>
                <w:noProof/>
              </w:rPr>
            </w:pPr>
            <w:r w:rsidRPr="00884B00">
              <w:rPr>
                <w:noProof/>
              </w:rPr>
              <w:t>99 895</w:t>
            </w:r>
          </w:p>
        </w:tc>
        <w:tc>
          <w:tcPr>
            <w:tcW w:w="708" w:type="dxa"/>
            <w:tcBorders>
              <w:top w:val="single" w:sz="4" w:space="0" w:color="auto"/>
              <w:bottom w:val="single" w:sz="4" w:space="0" w:color="auto"/>
            </w:tcBorders>
            <w:noWrap/>
          </w:tcPr>
          <w:p w14:paraId="0FAB2011" w14:textId="77777777" w:rsidR="00F96509" w:rsidRPr="00884B00" w:rsidRDefault="00F96509" w:rsidP="00CE4E4E">
            <w:pPr>
              <w:rPr>
                <w:noProof/>
              </w:rPr>
            </w:pPr>
            <w:r w:rsidRPr="00884B00">
              <w:rPr>
                <w:noProof/>
              </w:rPr>
              <w:t>83 %</w:t>
            </w:r>
          </w:p>
        </w:tc>
        <w:tc>
          <w:tcPr>
            <w:tcW w:w="1017" w:type="dxa"/>
            <w:tcBorders>
              <w:top w:val="single" w:sz="4" w:space="0" w:color="auto"/>
              <w:bottom w:val="single" w:sz="4" w:space="0" w:color="auto"/>
            </w:tcBorders>
            <w:noWrap/>
          </w:tcPr>
          <w:p w14:paraId="32F9D46A" w14:textId="77777777" w:rsidR="00F96509" w:rsidRPr="00884B00" w:rsidRDefault="00F96509" w:rsidP="00CE4E4E">
            <w:pPr>
              <w:rPr>
                <w:noProof/>
                <w:color w:val="000000"/>
              </w:rPr>
            </w:pPr>
            <w:r w:rsidRPr="00884B00">
              <w:rPr>
                <w:noProof/>
              </w:rPr>
              <w:t>47 292</w:t>
            </w:r>
          </w:p>
        </w:tc>
        <w:tc>
          <w:tcPr>
            <w:tcW w:w="1070" w:type="dxa"/>
            <w:tcBorders>
              <w:top w:val="single" w:sz="4" w:space="0" w:color="auto"/>
              <w:left w:val="nil"/>
              <w:bottom w:val="single" w:sz="4" w:space="0" w:color="auto"/>
              <w:right w:val="single" w:sz="4" w:space="0" w:color="auto"/>
            </w:tcBorders>
            <w:noWrap/>
          </w:tcPr>
          <w:p w14:paraId="3556AEBD" w14:textId="77777777" w:rsidR="00F96509" w:rsidRPr="00884B00" w:rsidRDefault="00F96509" w:rsidP="00CE4E4E">
            <w:pPr>
              <w:rPr>
                <w:noProof/>
              </w:rPr>
            </w:pPr>
            <w:r w:rsidRPr="00884B00">
              <w:rPr>
                <w:noProof/>
              </w:rPr>
              <w:t>89 %</w:t>
            </w:r>
          </w:p>
        </w:tc>
      </w:tr>
      <w:tr w:rsidR="00F96509" w:rsidRPr="00884B00" w14:paraId="6D81F5F8" w14:textId="77777777" w:rsidTr="5974E4A5">
        <w:trPr>
          <w:trHeight w:val="246"/>
        </w:trPr>
        <w:tc>
          <w:tcPr>
            <w:tcW w:w="2093" w:type="dxa"/>
            <w:tcBorders>
              <w:top w:val="single" w:sz="4" w:space="0" w:color="auto"/>
              <w:bottom w:val="single" w:sz="4" w:space="0" w:color="auto"/>
            </w:tcBorders>
            <w:noWrap/>
            <w:vAlign w:val="bottom"/>
          </w:tcPr>
          <w:p w14:paraId="47B71372" w14:textId="664C3427" w:rsidR="00F96509" w:rsidRPr="00884B00" w:rsidRDefault="00F96509" w:rsidP="00CE4E4E">
            <w:pPr>
              <w:rPr>
                <w:i/>
                <w:noProof/>
                <w:color w:val="000000"/>
              </w:rPr>
            </w:pPr>
            <w:r w:rsidRPr="00884B00">
              <w:rPr>
                <w:i/>
                <w:noProof/>
                <w:color w:val="000000"/>
              </w:rPr>
              <w:t xml:space="preserve">  Țări nevizate de extinderea participării</w:t>
            </w:r>
          </w:p>
        </w:tc>
        <w:tc>
          <w:tcPr>
            <w:tcW w:w="1391" w:type="dxa"/>
            <w:tcBorders>
              <w:top w:val="single" w:sz="4" w:space="0" w:color="auto"/>
              <w:bottom w:val="single" w:sz="4" w:space="0" w:color="auto"/>
            </w:tcBorders>
            <w:noWrap/>
          </w:tcPr>
          <w:p w14:paraId="5571E5B0" w14:textId="77777777" w:rsidR="00F96509" w:rsidRPr="00884B00" w:rsidRDefault="00F96509" w:rsidP="00CE4E4E">
            <w:pPr>
              <w:rPr>
                <w:i/>
                <w:noProof/>
                <w:highlight w:val="cyan"/>
              </w:rPr>
            </w:pPr>
            <w:r w:rsidRPr="00884B00">
              <w:rPr>
                <w:noProof/>
              </w:rPr>
              <w:t>395 074</w:t>
            </w:r>
          </w:p>
        </w:tc>
        <w:tc>
          <w:tcPr>
            <w:tcW w:w="1047" w:type="dxa"/>
            <w:tcBorders>
              <w:top w:val="single" w:sz="4" w:space="0" w:color="auto"/>
              <w:bottom w:val="single" w:sz="4" w:space="0" w:color="auto"/>
            </w:tcBorders>
            <w:noWrap/>
          </w:tcPr>
          <w:p w14:paraId="0D8572A6" w14:textId="77777777" w:rsidR="00F96509" w:rsidRPr="00884B00" w:rsidRDefault="00F96509" w:rsidP="5974E4A5">
            <w:pPr>
              <w:rPr>
                <w:i/>
                <w:iCs/>
                <w:noProof/>
              </w:rPr>
            </w:pPr>
            <w:r w:rsidRPr="00884B00">
              <w:rPr>
                <w:noProof/>
              </w:rPr>
              <w:t xml:space="preserve">61 % </w:t>
            </w:r>
          </w:p>
        </w:tc>
        <w:tc>
          <w:tcPr>
            <w:tcW w:w="1106" w:type="dxa"/>
            <w:tcBorders>
              <w:top w:val="single" w:sz="4" w:space="0" w:color="auto"/>
              <w:bottom w:val="single" w:sz="4" w:space="0" w:color="auto"/>
            </w:tcBorders>
          </w:tcPr>
          <w:p w14:paraId="538BF862" w14:textId="77777777" w:rsidR="00F96509" w:rsidRPr="00884B00" w:rsidRDefault="00F96509" w:rsidP="5974E4A5">
            <w:pPr>
              <w:rPr>
                <w:i/>
                <w:iCs/>
                <w:noProof/>
              </w:rPr>
            </w:pPr>
            <w:r w:rsidRPr="00884B00">
              <w:rPr>
                <w:noProof/>
              </w:rPr>
              <w:t xml:space="preserve">19 % </w:t>
            </w:r>
          </w:p>
        </w:tc>
        <w:tc>
          <w:tcPr>
            <w:tcW w:w="1134" w:type="dxa"/>
            <w:tcBorders>
              <w:top w:val="single" w:sz="4" w:space="0" w:color="auto"/>
              <w:bottom w:val="single" w:sz="4" w:space="0" w:color="auto"/>
            </w:tcBorders>
            <w:noWrap/>
          </w:tcPr>
          <w:p w14:paraId="3BC4BCA4" w14:textId="77777777" w:rsidR="00F96509" w:rsidRPr="00884B00" w:rsidRDefault="00F96509" w:rsidP="00CE4E4E">
            <w:pPr>
              <w:rPr>
                <w:i/>
                <w:noProof/>
              </w:rPr>
            </w:pPr>
            <w:r w:rsidRPr="00884B00">
              <w:rPr>
                <w:noProof/>
              </w:rPr>
              <w:t>79 093</w:t>
            </w:r>
          </w:p>
        </w:tc>
        <w:tc>
          <w:tcPr>
            <w:tcW w:w="708" w:type="dxa"/>
            <w:tcBorders>
              <w:top w:val="single" w:sz="4" w:space="0" w:color="auto"/>
              <w:bottom w:val="single" w:sz="4" w:space="0" w:color="auto"/>
            </w:tcBorders>
            <w:noWrap/>
          </w:tcPr>
          <w:p w14:paraId="0585AEC8" w14:textId="77777777" w:rsidR="00F96509" w:rsidRPr="00884B00" w:rsidRDefault="00F96509" w:rsidP="00CE4E4E">
            <w:pPr>
              <w:rPr>
                <w:i/>
                <w:noProof/>
              </w:rPr>
            </w:pPr>
            <w:r w:rsidRPr="00884B00">
              <w:rPr>
                <w:noProof/>
              </w:rPr>
              <w:t>66 %</w:t>
            </w:r>
          </w:p>
        </w:tc>
        <w:tc>
          <w:tcPr>
            <w:tcW w:w="1017" w:type="dxa"/>
            <w:tcBorders>
              <w:top w:val="single" w:sz="4" w:space="0" w:color="auto"/>
              <w:bottom w:val="single" w:sz="4" w:space="0" w:color="auto"/>
            </w:tcBorders>
            <w:noWrap/>
          </w:tcPr>
          <w:p w14:paraId="748EE1E8" w14:textId="77777777" w:rsidR="00F96509" w:rsidRPr="00884B00" w:rsidRDefault="00F96509" w:rsidP="00CE4E4E">
            <w:pPr>
              <w:rPr>
                <w:i/>
                <w:noProof/>
                <w:color w:val="000000"/>
              </w:rPr>
            </w:pPr>
            <w:r w:rsidRPr="00884B00">
              <w:rPr>
                <w:noProof/>
              </w:rPr>
              <w:t>40 371</w:t>
            </w:r>
          </w:p>
        </w:tc>
        <w:tc>
          <w:tcPr>
            <w:tcW w:w="1070" w:type="dxa"/>
            <w:tcBorders>
              <w:top w:val="single" w:sz="4" w:space="0" w:color="auto"/>
              <w:left w:val="nil"/>
              <w:bottom w:val="single" w:sz="4" w:space="0" w:color="auto"/>
              <w:right w:val="single" w:sz="4" w:space="0" w:color="auto"/>
            </w:tcBorders>
            <w:noWrap/>
          </w:tcPr>
          <w:p w14:paraId="287D646A" w14:textId="77777777" w:rsidR="00F96509" w:rsidRPr="00884B00" w:rsidRDefault="00F96509" w:rsidP="00CE4E4E">
            <w:pPr>
              <w:rPr>
                <w:i/>
                <w:noProof/>
              </w:rPr>
            </w:pPr>
            <w:r w:rsidRPr="00884B00">
              <w:rPr>
                <w:noProof/>
              </w:rPr>
              <w:t>76 %</w:t>
            </w:r>
          </w:p>
        </w:tc>
      </w:tr>
      <w:tr w:rsidR="00F96509" w:rsidRPr="00884B00" w14:paraId="5E14C486" w14:textId="77777777" w:rsidTr="5974E4A5">
        <w:trPr>
          <w:trHeight w:val="246"/>
        </w:trPr>
        <w:tc>
          <w:tcPr>
            <w:tcW w:w="2093" w:type="dxa"/>
            <w:tcBorders>
              <w:top w:val="single" w:sz="4" w:space="0" w:color="auto"/>
              <w:bottom w:val="single" w:sz="4" w:space="0" w:color="auto"/>
            </w:tcBorders>
            <w:noWrap/>
            <w:vAlign w:val="bottom"/>
          </w:tcPr>
          <w:p w14:paraId="2DC62587" w14:textId="77777777" w:rsidR="00F96509" w:rsidRPr="00884B00" w:rsidRDefault="00F96509" w:rsidP="00CE4E4E">
            <w:pPr>
              <w:rPr>
                <w:i/>
                <w:noProof/>
                <w:color w:val="000000"/>
              </w:rPr>
            </w:pPr>
            <w:r w:rsidRPr="00884B00">
              <w:rPr>
                <w:i/>
                <w:noProof/>
                <w:color w:val="000000"/>
              </w:rPr>
              <w:t xml:space="preserve">  Țări vizate de extinderea participării</w:t>
            </w:r>
          </w:p>
        </w:tc>
        <w:tc>
          <w:tcPr>
            <w:tcW w:w="1391" w:type="dxa"/>
            <w:tcBorders>
              <w:top w:val="single" w:sz="4" w:space="0" w:color="auto"/>
              <w:bottom w:val="single" w:sz="4" w:space="0" w:color="auto"/>
            </w:tcBorders>
            <w:noWrap/>
          </w:tcPr>
          <w:p w14:paraId="259A7E64" w14:textId="77777777" w:rsidR="00F96509" w:rsidRPr="00884B00" w:rsidRDefault="00F96509" w:rsidP="00CE4E4E">
            <w:pPr>
              <w:rPr>
                <w:i/>
                <w:noProof/>
                <w:highlight w:val="cyan"/>
              </w:rPr>
            </w:pPr>
            <w:r w:rsidRPr="00884B00">
              <w:rPr>
                <w:noProof/>
              </w:rPr>
              <w:t>123 407</w:t>
            </w:r>
          </w:p>
        </w:tc>
        <w:tc>
          <w:tcPr>
            <w:tcW w:w="1047" w:type="dxa"/>
            <w:tcBorders>
              <w:top w:val="single" w:sz="4" w:space="0" w:color="auto"/>
              <w:bottom w:val="single" w:sz="4" w:space="0" w:color="auto"/>
            </w:tcBorders>
            <w:noWrap/>
          </w:tcPr>
          <w:p w14:paraId="32EF8DB5" w14:textId="77777777" w:rsidR="00F96509" w:rsidRPr="00884B00" w:rsidRDefault="00F96509" w:rsidP="5974E4A5">
            <w:pPr>
              <w:rPr>
                <w:i/>
                <w:iCs/>
                <w:noProof/>
              </w:rPr>
            </w:pPr>
            <w:r w:rsidRPr="00884B00">
              <w:rPr>
                <w:noProof/>
              </w:rPr>
              <w:t xml:space="preserve">19 % </w:t>
            </w:r>
          </w:p>
        </w:tc>
        <w:tc>
          <w:tcPr>
            <w:tcW w:w="1106" w:type="dxa"/>
            <w:tcBorders>
              <w:top w:val="single" w:sz="4" w:space="0" w:color="auto"/>
              <w:bottom w:val="single" w:sz="4" w:space="0" w:color="auto"/>
            </w:tcBorders>
          </w:tcPr>
          <w:p w14:paraId="2B1C2841" w14:textId="77777777" w:rsidR="00F96509" w:rsidRPr="00884B00" w:rsidRDefault="00F96509" w:rsidP="5974E4A5">
            <w:pPr>
              <w:rPr>
                <w:i/>
                <w:iCs/>
                <w:noProof/>
              </w:rPr>
            </w:pPr>
            <w:r w:rsidRPr="00884B00">
              <w:rPr>
                <w:noProof/>
              </w:rPr>
              <w:t>16 %</w:t>
            </w:r>
          </w:p>
        </w:tc>
        <w:tc>
          <w:tcPr>
            <w:tcW w:w="1134" w:type="dxa"/>
            <w:tcBorders>
              <w:top w:val="single" w:sz="4" w:space="0" w:color="auto"/>
              <w:bottom w:val="single" w:sz="4" w:space="0" w:color="auto"/>
            </w:tcBorders>
            <w:noWrap/>
          </w:tcPr>
          <w:p w14:paraId="724114BC" w14:textId="77777777" w:rsidR="00F96509" w:rsidRPr="00884B00" w:rsidRDefault="00F96509" w:rsidP="00CE4E4E">
            <w:pPr>
              <w:rPr>
                <w:i/>
                <w:noProof/>
              </w:rPr>
            </w:pPr>
            <w:r w:rsidRPr="00884B00">
              <w:rPr>
                <w:noProof/>
              </w:rPr>
              <w:t>20 802</w:t>
            </w:r>
          </w:p>
        </w:tc>
        <w:tc>
          <w:tcPr>
            <w:tcW w:w="708" w:type="dxa"/>
            <w:tcBorders>
              <w:top w:val="single" w:sz="4" w:space="0" w:color="auto"/>
              <w:bottom w:val="single" w:sz="4" w:space="0" w:color="auto"/>
            </w:tcBorders>
            <w:noWrap/>
          </w:tcPr>
          <w:p w14:paraId="45C5694E" w14:textId="77777777" w:rsidR="00F96509" w:rsidRPr="00884B00" w:rsidRDefault="00F96509" w:rsidP="00CE4E4E">
            <w:pPr>
              <w:rPr>
                <w:i/>
                <w:noProof/>
              </w:rPr>
            </w:pPr>
            <w:r w:rsidRPr="00884B00">
              <w:rPr>
                <w:noProof/>
              </w:rPr>
              <w:t>17 %</w:t>
            </w:r>
          </w:p>
        </w:tc>
        <w:tc>
          <w:tcPr>
            <w:tcW w:w="1017" w:type="dxa"/>
            <w:tcBorders>
              <w:top w:val="single" w:sz="4" w:space="0" w:color="auto"/>
              <w:bottom w:val="single" w:sz="4" w:space="0" w:color="auto"/>
            </w:tcBorders>
            <w:noWrap/>
          </w:tcPr>
          <w:p w14:paraId="4165BCAA" w14:textId="77777777" w:rsidR="00F96509" w:rsidRPr="00884B00" w:rsidRDefault="00F96509" w:rsidP="00CE4E4E">
            <w:pPr>
              <w:rPr>
                <w:i/>
                <w:noProof/>
                <w:color w:val="000000"/>
              </w:rPr>
            </w:pPr>
            <w:r w:rsidRPr="00884B00">
              <w:rPr>
                <w:noProof/>
              </w:rPr>
              <w:t>6 921</w:t>
            </w:r>
          </w:p>
        </w:tc>
        <w:tc>
          <w:tcPr>
            <w:tcW w:w="1070" w:type="dxa"/>
            <w:tcBorders>
              <w:top w:val="single" w:sz="4" w:space="0" w:color="auto"/>
              <w:left w:val="nil"/>
              <w:bottom w:val="single" w:sz="4" w:space="0" w:color="auto"/>
              <w:right w:val="single" w:sz="4" w:space="0" w:color="auto"/>
            </w:tcBorders>
            <w:noWrap/>
          </w:tcPr>
          <w:p w14:paraId="77038BBD" w14:textId="77777777" w:rsidR="00F96509" w:rsidRPr="00884B00" w:rsidRDefault="00F96509" w:rsidP="00CE4E4E">
            <w:pPr>
              <w:rPr>
                <w:i/>
                <w:noProof/>
              </w:rPr>
            </w:pPr>
            <w:r w:rsidRPr="00884B00">
              <w:rPr>
                <w:noProof/>
              </w:rPr>
              <w:t>13 %</w:t>
            </w:r>
          </w:p>
        </w:tc>
      </w:tr>
      <w:tr w:rsidR="00F96509" w:rsidRPr="00884B00" w14:paraId="43ABBEC3" w14:textId="77777777" w:rsidTr="5974E4A5">
        <w:trPr>
          <w:trHeight w:val="246"/>
        </w:trPr>
        <w:tc>
          <w:tcPr>
            <w:tcW w:w="2093" w:type="dxa"/>
            <w:tcBorders>
              <w:top w:val="single" w:sz="4" w:space="0" w:color="auto"/>
              <w:bottom w:val="single" w:sz="4" w:space="0" w:color="auto"/>
            </w:tcBorders>
            <w:noWrap/>
            <w:vAlign w:val="bottom"/>
          </w:tcPr>
          <w:p w14:paraId="5DC4340D" w14:textId="21CBB4C6" w:rsidR="00F96509" w:rsidRPr="00884B00" w:rsidRDefault="00F96509" w:rsidP="00CE4E4E">
            <w:pPr>
              <w:rPr>
                <w:noProof/>
                <w:color w:val="000000"/>
              </w:rPr>
            </w:pPr>
            <w:r w:rsidRPr="00884B00">
              <w:rPr>
                <w:noProof/>
                <w:color w:val="000000"/>
              </w:rPr>
              <w:t>Țări asociate (fără Elveția)</w:t>
            </w:r>
          </w:p>
        </w:tc>
        <w:tc>
          <w:tcPr>
            <w:tcW w:w="1391" w:type="dxa"/>
            <w:tcBorders>
              <w:top w:val="single" w:sz="4" w:space="0" w:color="auto"/>
              <w:bottom w:val="single" w:sz="4" w:space="0" w:color="auto"/>
            </w:tcBorders>
            <w:noWrap/>
          </w:tcPr>
          <w:p w14:paraId="4B0DBBBA" w14:textId="77777777" w:rsidR="00F96509" w:rsidRPr="00884B00" w:rsidRDefault="00F96509" w:rsidP="00CE4E4E">
            <w:pPr>
              <w:rPr>
                <w:noProof/>
                <w:highlight w:val="cyan"/>
              </w:rPr>
            </w:pPr>
            <w:r w:rsidRPr="00884B00">
              <w:rPr>
                <w:noProof/>
              </w:rPr>
              <w:t>61 637</w:t>
            </w:r>
          </w:p>
        </w:tc>
        <w:tc>
          <w:tcPr>
            <w:tcW w:w="1047" w:type="dxa"/>
            <w:tcBorders>
              <w:top w:val="single" w:sz="4" w:space="0" w:color="auto"/>
              <w:bottom w:val="single" w:sz="4" w:space="0" w:color="auto"/>
            </w:tcBorders>
            <w:noWrap/>
          </w:tcPr>
          <w:p w14:paraId="68E7A2B6" w14:textId="77777777" w:rsidR="00F96509" w:rsidRPr="00884B00" w:rsidRDefault="00F96509" w:rsidP="5974E4A5">
            <w:pPr>
              <w:rPr>
                <w:noProof/>
              </w:rPr>
            </w:pPr>
            <w:r w:rsidRPr="00884B00">
              <w:rPr>
                <w:noProof/>
              </w:rPr>
              <w:t xml:space="preserve">10 % </w:t>
            </w:r>
          </w:p>
        </w:tc>
        <w:tc>
          <w:tcPr>
            <w:tcW w:w="1106" w:type="dxa"/>
            <w:tcBorders>
              <w:top w:val="single" w:sz="4" w:space="0" w:color="auto"/>
              <w:bottom w:val="single" w:sz="4" w:space="0" w:color="auto"/>
            </w:tcBorders>
          </w:tcPr>
          <w:p w14:paraId="195A1FA6" w14:textId="77777777" w:rsidR="00F96509" w:rsidRPr="00884B00" w:rsidRDefault="00F96509" w:rsidP="5974E4A5">
            <w:pPr>
              <w:rPr>
                <w:noProof/>
              </w:rPr>
            </w:pPr>
            <w:r w:rsidRPr="00884B00">
              <w:rPr>
                <w:noProof/>
              </w:rPr>
              <w:t>15 %</w:t>
            </w:r>
          </w:p>
        </w:tc>
        <w:tc>
          <w:tcPr>
            <w:tcW w:w="1134" w:type="dxa"/>
            <w:tcBorders>
              <w:top w:val="single" w:sz="4" w:space="0" w:color="auto"/>
              <w:bottom w:val="single" w:sz="4" w:space="0" w:color="auto"/>
            </w:tcBorders>
            <w:noWrap/>
          </w:tcPr>
          <w:p w14:paraId="317CDCA0" w14:textId="77777777" w:rsidR="00F96509" w:rsidRPr="00884B00" w:rsidRDefault="00F96509" w:rsidP="00CE4E4E">
            <w:pPr>
              <w:rPr>
                <w:noProof/>
              </w:rPr>
            </w:pPr>
            <w:r w:rsidRPr="00884B00">
              <w:rPr>
                <w:noProof/>
              </w:rPr>
              <w:t>8 613</w:t>
            </w:r>
          </w:p>
        </w:tc>
        <w:tc>
          <w:tcPr>
            <w:tcW w:w="708" w:type="dxa"/>
            <w:tcBorders>
              <w:top w:val="single" w:sz="4" w:space="0" w:color="auto"/>
              <w:bottom w:val="single" w:sz="4" w:space="0" w:color="auto"/>
            </w:tcBorders>
            <w:noWrap/>
          </w:tcPr>
          <w:p w14:paraId="1E28BE3E" w14:textId="77777777" w:rsidR="00F96509" w:rsidRPr="00884B00" w:rsidRDefault="00F96509" w:rsidP="00CE4E4E">
            <w:pPr>
              <w:rPr>
                <w:noProof/>
              </w:rPr>
            </w:pPr>
            <w:r w:rsidRPr="00884B00">
              <w:rPr>
                <w:noProof/>
              </w:rPr>
              <w:t>7 %</w:t>
            </w:r>
          </w:p>
        </w:tc>
        <w:tc>
          <w:tcPr>
            <w:tcW w:w="1017" w:type="dxa"/>
            <w:tcBorders>
              <w:top w:val="single" w:sz="4" w:space="0" w:color="auto"/>
              <w:bottom w:val="single" w:sz="4" w:space="0" w:color="auto"/>
            </w:tcBorders>
            <w:noWrap/>
          </w:tcPr>
          <w:p w14:paraId="1C171B61" w14:textId="77777777" w:rsidR="00F96509" w:rsidRPr="00884B00" w:rsidRDefault="00F96509" w:rsidP="00CE4E4E">
            <w:pPr>
              <w:rPr>
                <w:noProof/>
                <w:color w:val="000000"/>
              </w:rPr>
            </w:pPr>
            <w:r w:rsidRPr="00884B00">
              <w:rPr>
                <w:noProof/>
                <w:color w:val="000000"/>
              </w:rPr>
              <w:t>4 470</w:t>
            </w:r>
          </w:p>
        </w:tc>
        <w:tc>
          <w:tcPr>
            <w:tcW w:w="1070" w:type="dxa"/>
            <w:tcBorders>
              <w:top w:val="single" w:sz="4" w:space="0" w:color="auto"/>
              <w:left w:val="nil"/>
              <w:bottom w:val="single" w:sz="4" w:space="0" w:color="auto"/>
              <w:right w:val="single" w:sz="4" w:space="0" w:color="auto"/>
            </w:tcBorders>
            <w:noWrap/>
          </w:tcPr>
          <w:p w14:paraId="3D821D53" w14:textId="77777777" w:rsidR="00F96509" w:rsidRPr="00884B00" w:rsidRDefault="00F96509" w:rsidP="00CE4E4E">
            <w:pPr>
              <w:rPr>
                <w:noProof/>
              </w:rPr>
            </w:pPr>
            <w:r w:rsidRPr="00884B00">
              <w:rPr>
                <w:noProof/>
              </w:rPr>
              <w:t>8,5 %</w:t>
            </w:r>
          </w:p>
        </w:tc>
      </w:tr>
      <w:tr w:rsidR="00F96509" w:rsidRPr="00884B00" w14:paraId="49E3826A" w14:textId="77777777" w:rsidTr="5974E4A5">
        <w:trPr>
          <w:trHeight w:val="246"/>
        </w:trPr>
        <w:tc>
          <w:tcPr>
            <w:tcW w:w="2093" w:type="dxa"/>
            <w:tcBorders>
              <w:top w:val="nil"/>
              <w:left w:val="single" w:sz="4" w:space="0" w:color="auto"/>
              <w:bottom w:val="single" w:sz="4" w:space="0" w:color="auto"/>
              <w:right w:val="single" w:sz="4" w:space="0" w:color="auto"/>
            </w:tcBorders>
            <w:noWrap/>
            <w:vAlign w:val="center"/>
          </w:tcPr>
          <w:p w14:paraId="2EC20EDD" w14:textId="1C76031C" w:rsidR="00F96509" w:rsidRPr="00884B00" w:rsidRDefault="004B44F7" w:rsidP="00CE4E4E">
            <w:pPr>
              <w:rPr>
                <w:noProof/>
                <w:color w:val="000000"/>
              </w:rPr>
            </w:pPr>
            <w:r w:rsidRPr="00884B00">
              <w:rPr>
                <w:noProof/>
                <w:color w:val="000000"/>
              </w:rPr>
              <w:t>Elveția – țară asociată</w:t>
            </w:r>
          </w:p>
        </w:tc>
        <w:tc>
          <w:tcPr>
            <w:tcW w:w="1391" w:type="dxa"/>
            <w:tcBorders>
              <w:top w:val="single" w:sz="4" w:space="0" w:color="auto"/>
              <w:left w:val="single" w:sz="4" w:space="0" w:color="auto"/>
              <w:bottom w:val="single" w:sz="4" w:space="0" w:color="auto"/>
            </w:tcBorders>
            <w:noWrap/>
          </w:tcPr>
          <w:p w14:paraId="65C10DD3" w14:textId="77777777" w:rsidR="00F96509" w:rsidRPr="00884B00" w:rsidRDefault="00F96509" w:rsidP="00CE4E4E">
            <w:pPr>
              <w:rPr>
                <w:noProof/>
                <w:highlight w:val="cyan"/>
              </w:rPr>
            </w:pPr>
            <w:r w:rsidRPr="00884B00">
              <w:rPr>
                <w:noProof/>
              </w:rPr>
              <w:t>2 690</w:t>
            </w:r>
          </w:p>
        </w:tc>
        <w:tc>
          <w:tcPr>
            <w:tcW w:w="1047" w:type="dxa"/>
            <w:tcBorders>
              <w:top w:val="single" w:sz="4" w:space="0" w:color="auto"/>
              <w:bottom w:val="single" w:sz="4" w:space="0" w:color="auto"/>
            </w:tcBorders>
            <w:noWrap/>
          </w:tcPr>
          <w:p w14:paraId="3A3C33D1" w14:textId="77777777" w:rsidR="00F96509" w:rsidRPr="00884B00" w:rsidRDefault="00F96509" w:rsidP="00CE4E4E">
            <w:pPr>
              <w:rPr>
                <w:noProof/>
                <w:highlight w:val="cyan"/>
              </w:rPr>
            </w:pPr>
            <w:r w:rsidRPr="00884B00">
              <w:rPr>
                <w:noProof/>
              </w:rPr>
              <w:t>0,4 %</w:t>
            </w:r>
          </w:p>
        </w:tc>
        <w:tc>
          <w:tcPr>
            <w:tcW w:w="1106" w:type="dxa"/>
            <w:tcBorders>
              <w:top w:val="single" w:sz="4" w:space="0" w:color="auto"/>
              <w:bottom w:val="single" w:sz="4" w:space="0" w:color="auto"/>
            </w:tcBorders>
          </w:tcPr>
          <w:p w14:paraId="329C9C70" w14:textId="77777777" w:rsidR="00F96509" w:rsidRPr="00884B00" w:rsidRDefault="00F96509" w:rsidP="00CE4E4E">
            <w:pPr>
              <w:rPr>
                <w:noProof/>
                <w:highlight w:val="cyan"/>
              </w:rPr>
            </w:pPr>
            <w:r w:rsidRPr="00884B00">
              <w:rPr>
                <w:noProof/>
              </w:rPr>
              <w:t>14 %</w:t>
            </w:r>
          </w:p>
        </w:tc>
        <w:tc>
          <w:tcPr>
            <w:tcW w:w="1134" w:type="dxa"/>
            <w:tcBorders>
              <w:top w:val="single" w:sz="4" w:space="0" w:color="auto"/>
              <w:bottom w:val="single" w:sz="4" w:space="0" w:color="auto"/>
            </w:tcBorders>
            <w:noWrap/>
          </w:tcPr>
          <w:p w14:paraId="3D2A416A" w14:textId="77777777" w:rsidR="00F96509" w:rsidRPr="00884B00" w:rsidRDefault="00F96509" w:rsidP="00CE4E4E">
            <w:pPr>
              <w:rPr>
                <w:noProof/>
              </w:rPr>
            </w:pPr>
            <w:r w:rsidRPr="00884B00">
              <w:rPr>
                <w:noProof/>
              </w:rPr>
              <w:t>75</w:t>
            </w:r>
          </w:p>
        </w:tc>
        <w:tc>
          <w:tcPr>
            <w:tcW w:w="708" w:type="dxa"/>
            <w:tcBorders>
              <w:top w:val="single" w:sz="4" w:space="0" w:color="auto"/>
              <w:bottom w:val="single" w:sz="4" w:space="0" w:color="auto"/>
            </w:tcBorders>
            <w:noWrap/>
          </w:tcPr>
          <w:p w14:paraId="191C5959" w14:textId="77777777" w:rsidR="00F96509" w:rsidRPr="00884B00" w:rsidRDefault="00F96509" w:rsidP="00CE4E4E">
            <w:pPr>
              <w:rPr>
                <w:noProof/>
              </w:rPr>
            </w:pPr>
            <w:r w:rsidRPr="00884B00">
              <w:rPr>
                <w:noProof/>
              </w:rPr>
              <w:t>0,1 %</w:t>
            </w:r>
          </w:p>
        </w:tc>
        <w:tc>
          <w:tcPr>
            <w:tcW w:w="1017" w:type="dxa"/>
            <w:tcBorders>
              <w:top w:val="single" w:sz="4" w:space="0" w:color="auto"/>
              <w:bottom w:val="single" w:sz="4" w:space="0" w:color="auto"/>
            </w:tcBorders>
            <w:noWrap/>
          </w:tcPr>
          <w:p w14:paraId="6F9C7D00" w14:textId="77777777" w:rsidR="00F96509" w:rsidRPr="00884B00" w:rsidRDefault="00F96509" w:rsidP="00CE4E4E">
            <w:pPr>
              <w:rPr>
                <w:noProof/>
                <w:color w:val="000000"/>
              </w:rPr>
            </w:pPr>
            <w:r w:rsidRPr="00884B00">
              <w:rPr>
                <w:noProof/>
                <w:color w:val="000000"/>
              </w:rPr>
              <w:t>92</w:t>
            </w:r>
          </w:p>
        </w:tc>
        <w:tc>
          <w:tcPr>
            <w:tcW w:w="1070" w:type="dxa"/>
            <w:tcBorders>
              <w:top w:val="single" w:sz="4" w:space="0" w:color="auto"/>
              <w:left w:val="nil"/>
              <w:bottom w:val="single" w:sz="4" w:space="0" w:color="auto"/>
              <w:right w:val="single" w:sz="4" w:space="0" w:color="auto"/>
            </w:tcBorders>
            <w:noWrap/>
          </w:tcPr>
          <w:p w14:paraId="617468C0" w14:textId="77777777" w:rsidR="00F96509" w:rsidRPr="00884B00" w:rsidRDefault="00F96509" w:rsidP="00CE4E4E">
            <w:pPr>
              <w:rPr>
                <w:noProof/>
              </w:rPr>
            </w:pPr>
            <w:r w:rsidRPr="00884B00">
              <w:rPr>
                <w:noProof/>
              </w:rPr>
              <w:t>0,2 %</w:t>
            </w:r>
          </w:p>
        </w:tc>
      </w:tr>
      <w:tr w:rsidR="00F96509" w:rsidRPr="00884B00" w14:paraId="254D91BA" w14:textId="77777777" w:rsidTr="5974E4A5">
        <w:trPr>
          <w:trHeight w:val="246"/>
        </w:trPr>
        <w:tc>
          <w:tcPr>
            <w:tcW w:w="2093" w:type="dxa"/>
            <w:tcBorders>
              <w:top w:val="single" w:sz="4" w:space="0" w:color="auto"/>
              <w:left w:val="single" w:sz="4" w:space="0" w:color="auto"/>
              <w:bottom w:val="single" w:sz="4" w:space="0" w:color="auto"/>
              <w:right w:val="single" w:sz="4" w:space="0" w:color="auto"/>
            </w:tcBorders>
            <w:noWrap/>
            <w:vAlign w:val="center"/>
          </w:tcPr>
          <w:p w14:paraId="380EEF3B" w14:textId="2A738377" w:rsidR="00F96509" w:rsidRPr="00884B00" w:rsidRDefault="004B44F7" w:rsidP="00CE4E4E">
            <w:pPr>
              <w:rPr>
                <w:noProof/>
                <w:color w:val="000000"/>
              </w:rPr>
            </w:pPr>
            <w:r w:rsidRPr="00884B00">
              <w:rPr>
                <w:noProof/>
                <w:color w:val="000000"/>
              </w:rPr>
              <w:t>Elveția – țară terță neasociată</w:t>
            </w:r>
          </w:p>
        </w:tc>
        <w:tc>
          <w:tcPr>
            <w:tcW w:w="1391" w:type="dxa"/>
            <w:tcBorders>
              <w:top w:val="single" w:sz="4" w:space="0" w:color="auto"/>
              <w:left w:val="single" w:sz="4" w:space="0" w:color="auto"/>
              <w:bottom w:val="single" w:sz="4" w:space="0" w:color="auto"/>
            </w:tcBorders>
            <w:noWrap/>
          </w:tcPr>
          <w:p w14:paraId="2FFC724B" w14:textId="77777777" w:rsidR="00F96509" w:rsidRPr="00884B00" w:rsidRDefault="00F96509" w:rsidP="00CE4E4E">
            <w:pPr>
              <w:rPr>
                <w:noProof/>
                <w:highlight w:val="cyan"/>
              </w:rPr>
            </w:pPr>
            <w:r w:rsidRPr="00884B00">
              <w:rPr>
                <w:noProof/>
              </w:rPr>
              <w:t>12 101</w:t>
            </w:r>
          </w:p>
        </w:tc>
        <w:tc>
          <w:tcPr>
            <w:tcW w:w="1047" w:type="dxa"/>
            <w:tcBorders>
              <w:top w:val="single" w:sz="4" w:space="0" w:color="auto"/>
              <w:bottom w:val="single" w:sz="4" w:space="0" w:color="auto"/>
            </w:tcBorders>
            <w:noWrap/>
          </w:tcPr>
          <w:p w14:paraId="02B96225" w14:textId="77777777" w:rsidR="00F96509" w:rsidRPr="00884B00" w:rsidRDefault="00F96509" w:rsidP="00CE4E4E">
            <w:pPr>
              <w:rPr>
                <w:noProof/>
                <w:highlight w:val="cyan"/>
              </w:rPr>
            </w:pPr>
            <w:r w:rsidRPr="00884B00">
              <w:rPr>
                <w:noProof/>
              </w:rPr>
              <w:t>2 %</w:t>
            </w:r>
          </w:p>
        </w:tc>
        <w:tc>
          <w:tcPr>
            <w:tcW w:w="1106" w:type="dxa"/>
            <w:tcBorders>
              <w:top w:val="single" w:sz="4" w:space="0" w:color="auto"/>
              <w:bottom w:val="single" w:sz="4" w:space="0" w:color="auto"/>
            </w:tcBorders>
          </w:tcPr>
          <w:p w14:paraId="1CF6D014" w14:textId="77777777" w:rsidR="00F96509" w:rsidRPr="00884B00" w:rsidRDefault="00F96509" w:rsidP="00CE4E4E">
            <w:pPr>
              <w:rPr>
                <w:noProof/>
                <w:highlight w:val="cyan"/>
              </w:rPr>
            </w:pPr>
            <w:r w:rsidRPr="00884B00">
              <w:rPr>
                <w:noProof/>
              </w:rPr>
              <w:t>21 %</w:t>
            </w:r>
          </w:p>
        </w:tc>
        <w:tc>
          <w:tcPr>
            <w:tcW w:w="1134" w:type="dxa"/>
            <w:tcBorders>
              <w:top w:val="single" w:sz="4" w:space="0" w:color="auto"/>
              <w:bottom w:val="single" w:sz="4" w:space="0" w:color="auto"/>
            </w:tcBorders>
            <w:noWrap/>
          </w:tcPr>
          <w:p w14:paraId="4399504E" w14:textId="77777777" w:rsidR="00F96509" w:rsidRPr="00884B00" w:rsidRDefault="00F96509" w:rsidP="00CE4E4E">
            <w:pPr>
              <w:rPr>
                <w:noProof/>
              </w:rPr>
            </w:pPr>
            <w:r w:rsidRPr="00884B00">
              <w:rPr>
                <w:noProof/>
              </w:rPr>
              <w:t>2 827</w:t>
            </w:r>
          </w:p>
        </w:tc>
        <w:tc>
          <w:tcPr>
            <w:tcW w:w="708" w:type="dxa"/>
            <w:tcBorders>
              <w:top w:val="single" w:sz="4" w:space="0" w:color="auto"/>
              <w:bottom w:val="single" w:sz="4" w:space="0" w:color="auto"/>
            </w:tcBorders>
            <w:noWrap/>
          </w:tcPr>
          <w:p w14:paraId="6BAAA44A" w14:textId="77777777" w:rsidR="00F96509" w:rsidRPr="00884B00" w:rsidRDefault="00F96509" w:rsidP="00CE4E4E">
            <w:pPr>
              <w:rPr>
                <w:noProof/>
              </w:rPr>
            </w:pPr>
            <w:r w:rsidRPr="00884B00">
              <w:rPr>
                <w:noProof/>
              </w:rPr>
              <w:t>2 %</w:t>
            </w:r>
          </w:p>
        </w:tc>
        <w:tc>
          <w:tcPr>
            <w:tcW w:w="1017" w:type="dxa"/>
            <w:tcBorders>
              <w:top w:val="single" w:sz="4" w:space="0" w:color="auto"/>
              <w:bottom w:val="single" w:sz="4" w:space="0" w:color="auto"/>
            </w:tcBorders>
            <w:noWrap/>
          </w:tcPr>
          <w:p w14:paraId="0C6D9090" w14:textId="77777777" w:rsidR="00F96509" w:rsidRPr="00884B00" w:rsidRDefault="00F96509" w:rsidP="00CE4E4E">
            <w:pPr>
              <w:rPr>
                <w:noProof/>
                <w:color w:val="000000"/>
              </w:rPr>
            </w:pPr>
            <w:r w:rsidRPr="00884B00">
              <w:rPr>
                <w:noProof/>
                <w:color w:val="000000"/>
              </w:rPr>
              <w:t>126</w:t>
            </w:r>
          </w:p>
        </w:tc>
        <w:tc>
          <w:tcPr>
            <w:tcW w:w="1070" w:type="dxa"/>
            <w:tcBorders>
              <w:top w:val="single" w:sz="4" w:space="0" w:color="auto"/>
              <w:left w:val="nil"/>
              <w:bottom w:val="single" w:sz="4" w:space="0" w:color="auto"/>
              <w:right w:val="single" w:sz="4" w:space="0" w:color="auto"/>
            </w:tcBorders>
            <w:noWrap/>
          </w:tcPr>
          <w:p w14:paraId="624FAA85" w14:textId="77777777" w:rsidR="00F96509" w:rsidRPr="00884B00" w:rsidRDefault="00F96509" w:rsidP="00CE4E4E">
            <w:pPr>
              <w:rPr>
                <w:noProof/>
              </w:rPr>
            </w:pPr>
            <w:r w:rsidRPr="00884B00">
              <w:rPr>
                <w:noProof/>
              </w:rPr>
              <w:t>0,2 %</w:t>
            </w:r>
          </w:p>
        </w:tc>
      </w:tr>
      <w:tr w:rsidR="00F96509" w:rsidRPr="00884B00" w14:paraId="7C04F077" w14:textId="77777777" w:rsidTr="5974E4A5">
        <w:trPr>
          <w:trHeight w:val="246"/>
        </w:trPr>
        <w:tc>
          <w:tcPr>
            <w:tcW w:w="2093" w:type="dxa"/>
            <w:tcBorders>
              <w:top w:val="single" w:sz="4" w:space="0" w:color="auto"/>
              <w:bottom w:val="single" w:sz="4" w:space="0" w:color="auto"/>
            </w:tcBorders>
            <w:noWrap/>
            <w:vAlign w:val="bottom"/>
          </w:tcPr>
          <w:p w14:paraId="2BDC4525" w14:textId="2C8744DF" w:rsidR="00F96509" w:rsidRPr="00884B00" w:rsidRDefault="00F96509" w:rsidP="00CE4E4E">
            <w:pPr>
              <w:rPr>
                <w:noProof/>
                <w:color w:val="000000"/>
              </w:rPr>
            </w:pPr>
            <w:r w:rsidRPr="00884B00">
              <w:rPr>
                <w:noProof/>
                <w:color w:val="000000"/>
              </w:rPr>
              <w:t>Țări terțe</w:t>
            </w:r>
          </w:p>
        </w:tc>
        <w:tc>
          <w:tcPr>
            <w:tcW w:w="1391" w:type="dxa"/>
            <w:tcBorders>
              <w:top w:val="single" w:sz="4" w:space="0" w:color="auto"/>
              <w:bottom w:val="single" w:sz="4" w:space="0" w:color="auto"/>
            </w:tcBorders>
            <w:noWrap/>
          </w:tcPr>
          <w:p w14:paraId="3C55553D" w14:textId="77777777" w:rsidR="00F96509" w:rsidRPr="00884B00" w:rsidRDefault="00F96509" w:rsidP="00CE4E4E">
            <w:pPr>
              <w:rPr>
                <w:noProof/>
                <w:highlight w:val="cyan"/>
              </w:rPr>
            </w:pPr>
            <w:r w:rsidRPr="00884B00">
              <w:rPr>
                <w:noProof/>
              </w:rPr>
              <w:t>49 748</w:t>
            </w:r>
          </w:p>
        </w:tc>
        <w:tc>
          <w:tcPr>
            <w:tcW w:w="1047" w:type="dxa"/>
            <w:tcBorders>
              <w:top w:val="single" w:sz="4" w:space="0" w:color="auto"/>
              <w:bottom w:val="single" w:sz="4" w:space="0" w:color="auto"/>
            </w:tcBorders>
            <w:noWrap/>
          </w:tcPr>
          <w:p w14:paraId="30B3D2DD" w14:textId="77777777" w:rsidR="00F96509" w:rsidRPr="00884B00" w:rsidRDefault="00F96509" w:rsidP="00CE4E4E">
            <w:pPr>
              <w:rPr>
                <w:noProof/>
                <w:highlight w:val="cyan"/>
              </w:rPr>
            </w:pPr>
            <w:r w:rsidRPr="00884B00">
              <w:rPr>
                <w:noProof/>
              </w:rPr>
              <w:t>8 %</w:t>
            </w:r>
            <w:r w:rsidRPr="00884B00">
              <w:rPr>
                <w:noProof/>
                <w:highlight w:val="cyan"/>
              </w:rPr>
              <w:t xml:space="preserve"> </w:t>
            </w:r>
          </w:p>
        </w:tc>
        <w:tc>
          <w:tcPr>
            <w:tcW w:w="1106" w:type="dxa"/>
            <w:tcBorders>
              <w:top w:val="single" w:sz="4" w:space="0" w:color="auto"/>
              <w:bottom w:val="single" w:sz="4" w:space="0" w:color="auto"/>
            </w:tcBorders>
          </w:tcPr>
          <w:p w14:paraId="7DAD299F" w14:textId="77777777" w:rsidR="00F96509" w:rsidRPr="00884B00" w:rsidRDefault="00F96509" w:rsidP="00CE4E4E">
            <w:pPr>
              <w:rPr>
                <w:noProof/>
                <w:highlight w:val="cyan"/>
              </w:rPr>
            </w:pPr>
            <w:r w:rsidRPr="00884B00">
              <w:rPr>
                <w:noProof/>
              </w:rPr>
              <w:t>20 %</w:t>
            </w:r>
          </w:p>
        </w:tc>
        <w:tc>
          <w:tcPr>
            <w:tcW w:w="1134" w:type="dxa"/>
            <w:tcBorders>
              <w:top w:val="single" w:sz="4" w:space="0" w:color="auto"/>
              <w:bottom w:val="single" w:sz="4" w:space="0" w:color="auto"/>
            </w:tcBorders>
            <w:noWrap/>
          </w:tcPr>
          <w:p w14:paraId="7722A195" w14:textId="161108A6" w:rsidR="00F96509" w:rsidRPr="00884B00" w:rsidRDefault="00F127D5" w:rsidP="00CE4E4E">
            <w:pPr>
              <w:rPr>
                <w:noProof/>
              </w:rPr>
            </w:pPr>
            <w:r w:rsidRPr="00884B00">
              <w:rPr>
                <w:noProof/>
              </w:rPr>
              <w:t>9 062</w:t>
            </w:r>
          </w:p>
        </w:tc>
        <w:tc>
          <w:tcPr>
            <w:tcW w:w="708" w:type="dxa"/>
            <w:tcBorders>
              <w:top w:val="single" w:sz="4" w:space="0" w:color="auto"/>
              <w:bottom w:val="single" w:sz="4" w:space="0" w:color="auto"/>
            </w:tcBorders>
            <w:noWrap/>
          </w:tcPr>
          <w:p w14:paraId="069DD5D5" w14:textId="77777777" w:rsidR="00F96509" w:rsidRPr="00884B00" w:rsidRDefault="00F96509" w:rsidP="00CE4E4E">
            <w:pPr>
              <w:rPr>
                <w:noProof/>
              </w:rPr>
            </w:pPr>
            <w:r w:rsidRPr="00884B00">
              <w:rPr>
                <w:noProof/>
              </w:rPr>
              <w:t>7 %</w:t>
            </w:r>
          </w:p>
        </w:tc>
        <w:tc>
          <w:tcPr>
            <w:tcW w:w="1017" w:type="dxa"/>
            <w:tcBorders>
              <w:top w:val="single" w:sz="4" w:space="0" w:color="auto"/>
              <w:bottom w:val="single" w:sz="4" w:space="0" w:color="auto"/>
            </w:tcBorders>
            <w:noWrap/>
          </w:tcPr>
          <w:p w14:paraId="7020F3DD" w14:textId="77777777" w:rsidR="00F96509" w:rsidRPr="00884B00" w:rsidRDefault="00F96509" w:rsidP="00CE4E4E">
            <w:pPr>
              <w:rPr>
                <w:noProof/>
                <w:color w:val="000000"/>
              </w:rPr>
            </w:pPr>
            <w:r w:rsidRPr="00884B00">
              <w:rPr>
                <w:noProof/>
                <w:color w:val="000000"/>
              </w:rPr>
              <w:t>780</w:t>
            </w:r>
          </w:p>
        </w:tc>
        <w:tc>
          <w:tcPr>
            <w:tcW w:w="1070" w:type="dxa"/>
            <w:tcBorders>
              <w:top w:val="single" w:sz="4" w:space="0" w:color="auto"/>
              <w:left w:val="nil"/>
              <w:bottom w:val="single" w:sz="4" w:space="0" w:color="auto"/>
              <w:right w:val="single" w:sz="4" w:space="0" w:color="auto"/>
            </w:tcBorders>
            <w:noWrap/>
          </w:tcPr>
          <w:p w14:paraId="3B385AEC" w14:textId="77777777" w:rsidR="00F96509" w:rsidRPr="00884B00" w:rsidRDefault="00F96509" w:rsidP="00CE4E4E">
            <w:pPr>
              <w:rPr>
                <w:noProof/>
              </w:rPr>
            </w:pPr>
            <w:r w:rsidRPr="00884B00">
              <w:rPr>
                <w:noProof/>
              </w:rPr>
              <w:t>1 %</w:t>
            </w:r>
          </w:p>
        </w:tc>
      </w:tr>
      <w:tr w:rsidR="00F96509" w:rsidRPr="00884B00" w14:paraId="12E17F0A" w14:textId="77777777" w:rsidTr="5974E4A5">
        <w:trPr>
          <w:trHeight w:val="246"/>
        </w:trPr>
        <w:tc>
          <w:tcPr>
            <w:tcW w:w="2093" w:type="dxa"/>
            <w:tcBorders>
              <w:top w:val="single" w:sz="4" w:space="0" w:color="auto"/>
              <w:bottom w:val="single" w:sz="4" w:space="0" w:color="auto"/>
            </w:tcBorders>
            <w:shd w:val="clear" w:color="auto" w:fill="D9D9D9" w:themeFill="background1" w:themeFillShade="D9"/>
            <w:noWrap/>
            <w:vAlign w:val="bottom"/>
          </w:tcPr>
          <w:p w14:paraId="6489F22D" w14:textId="77777777" w:rsidR="00F96509" w:rsidRPr="00884B00" w:rsidRDefault="00F96509" w:rsidP="00CE4E4E">
            <w:pPr>
              <w:rPr>
                <w:b/>
                <w:i/>
                <w:noProof/>
                <w:color w:val="000000"/>
              </w:rPr>
            </w:pPr>
            <w:r w:rsidRPr="00884B00">
              <w:rPr>
                <w:b/>
                <w:i/>
                <w:noProof/>
                <w:color w:val="000000"/>
              </w:rPr>
              <w:t>TOTAL</w:t>
            </w:r>
          </w:p>
        </w:tc>
        <w:tc>
          <w:tcPr>
            <w:tcW w:w="1391" w:type="dxa"/>
            <w:tcBorders>
              <w:top w:val="single" w:sz="4" w:space="0" w:color="auto"/>
              <w:bottom w:val="single" w:sz="4" w:space="0" w:color="auto"/>
            </w:tcBorders>
            <w:shd w:val="clear" w:color="auto" w:fill="D9D9D9" w:themeFill="background1" w:themeFillShade="D9"/>
            <w:noWrap/>
          </w:tcPr>
          <w:p w14:paraId="1B1C8663" w14:textId="77777777" w:rsidR="00F96509" w:rsidRPr="00884B00" w:rsidRDefault="00F96509" w:rsidP="00CE4E4E">
            <w:pPr>
              <w:rPr>
                <w:b/>
                <w:bCs/>
                <w:noProof/>
                <w:color w:val="000000"/>
                <w:highlight w:val="cyan"/>
              </w:rPr>
            </w:pPr>
            <w:r w:rsidRPr="00884B00">
              <w:rPr>
                <w:b/>
                <w:noProof/>
              </w:rPr>
              <w:t>644 657</w:t>
            </w:r>
          </w:p>
        </w:tc>
        <w:tc>
          <w:tcPr>
            <w:tcW w:w="1047" w:type="dxa"/>
            <w:tcBorders>
              <w:top w:val="single" w:sz="4" w:space="0" w:color="auto"/>
              <w:bottom w:val="single" w:sz="4" w:space="0" w:color="auto"/>
            </w:tcBorders>
            <w:shd w:val="clear" w:color="auto" w:fill="D9D9D9" w:themeFill="background1" w:themeFillShade="D9"/>
            <w:noWrap/>
          </w:tcPr>
          <w:p w14:paraId="305C35DE" w14:textId="77777777" w:rsidR="00F96509" w:rsidRPr="00884B00" w:rsidRDefault="00F96509" w:rsidP="00CE4E4E">
            <w:pPr>
              <w:rPr>
                <w:b/>
                <w:bCs/>
                <w:noProof/>
                <w:color w:val="000000"/>
              </w:rPr>
            </w:pPr>
            <w:r w:rsidRPr="00884B00">
              <w:rPr>
                <w:b/>
                <w:noProof/>
              </w:rPr>
              <w:t>-</w:t>
            </w:r>
          </w:p>
        </w:tc>
        <w:tc>
          <w:tcPr>
            <w:tcW w:w="1106" w:type="dxa"/>
            <w:tcBorders>
              <w:top w:val="single" w:sz="4" w:space="0" w:color="auto"/>
              <w:bottom w:val="single" w:sz="4" w:space="0" w:color="auto"/>
            </w:tcBorders>
            <w:shd w:val="clear" w:color="auto" w:fill="D9D9D9" w:themeFill="background1" w:themeFillShade="D9"/>
          </w:tcPr>
          <w:p w14:paraId="5C8B5E70" w14:textId="77777777" w:rsidR="00F96509" w:rsidRPr="00884B00" w:rsidRDefault="00F96509" w:rsidP="00CE4E4E">
            <w:pPr>
              <w:rPr>
                <w:b/>
                <w:bCs/>
                <w:noProof/>
                <w:color w:val="000000"/>
                <w:highlight w:val="cyan"/>
              </w:rPr>
            </w:pPr>
            <w:r w:rsidRPr="00884B00">
              <w:rPr>
                <w:b/>
                <w:noProof/>
              </w:rPr>
              <w:t>-</w:t>
            </w:r>
          </w:p>
        </w:tc>
        <w:tc>
          <w:tcPr>
            <w:tcW w:w="1134" w:type="dxa"/>
            <w:tcBorders>
              <w:top w:val="single" w:sz="4" w:space="0" w:color="auto"/>
              <w:bottom w:val="single" w:sz="4" w:space="0" w:color="auto"/>
            </w:tcBorders>
            <w:shd w:val="clear" w:color="auto" w:fill="D9D9D9" w:themeFill="background1" w:themeFillShade="D9"/>
            <w:noWrap/>
          </w:tcPr>
          <w:p w14:paraId="69B2D1E4" w14:textId="77777777" w:rsidR="00F96509" w:rsidRPr="00884B00" w:rsidRDefault="00F96509" w:rsidP="00CE4E4E">
            <w:pPr>
              <w:rPr>
                <w:b/>
                <w:bCs/>
                <w:noProof/>
              </w:rPr>
            </w:pPr>
            <w:r w:rsidRPr="00884B00">
              <w:rPr>
                <w:b/>
                <w:noProof/>
              </w:rPr>
              <w:t>120 472</w:t>
            </w:r>
          </w:p>
        </w:tc>
        <w:tc>
          <w:tcPr>
            <w:tcW w:w="708" w:type="dxa"/>
            <w:tcBorders>
              <w:top w:val="single" w:sz="4" w:space="0" w:color="auto"/>
              <w:bottom w:val="single" w:sz="4" w:space="0" w:color="auto"/>
            </w:tcBorders>
            <w:shd w:val="clear" w:color="auto" w:fill="D9D9D9" w:themeFill="background1" w:themeFillShade="D9"/>
            <w:noWrap/>
          </w:tcPr>
          <w:p w14:paraId="0C2B048D" w14:textId="77777777" w:rsidR="00F96509" w:rsidRPr="00884B00" w:rsidRDefault="00F96509" w:rsidP="00CE4E4E">
            <w:pPr>
              <w:rPr>
                <w:b/>
                <w:bCs/>
                <w:noProof/>
                <w:color w:val="000000"/>
              </w:rPr>
            </w:pPr>
            <w:r w:rsidRPr="00884B00">
              <w:rPr>
                <w:b/>
                <w:noProof/>
              </w:rPr>
              <w:t>-</w:t>
            </w:r>
          </w:p>
        </w:tc>
        <w:tc>
          <w:tcPr>
            <w:tcW w:w="1017" w:type="dxa"/>
            <w:tcBorders>
              <w:top w:val="single" w:sz="4" w:space="0" w:color="auto"/>
              <w:bottom w:val="single" w:sz="4" w:space="0" w:color="auto"/>
            </w:tcBorders>
            <w:shd w:val="clear" w:color="auto" w:fill="D9D9D9" w:themeFill="background1" w:themeFillShade="D9"/>
            <w:noWrap/>
          </w:tcPr>
          <w:p w14:paraId="695A5E33" w14:textId="77777777" w:rsidR="00F96509" w:rsidRPr="00884B00" w:rsidRDefault="00F96509" w:rsidP="00CE4E4E">
            <w:pPr>
              <w:rPr>
                <w:b/>
                <w:bCs/>
                <w:noProof/>
                <w:color w:val="000000"/>
              </w:rPr>
            </w:pPr>
            <w:r w:rsidRPr="00884B00">
              <w:rPr>
                <w:b/>
                <w:noProof/>
              </w:rPr>
              <w:t>52 761</w:t>
            </w:r>
          </w:p>
        </w:tc>
        <w:tc>
          <w:tcPr>
            <w:tcW w:w="1070" w:type="dxa"/>
            <w:tcBorders>
              <w:top w:val="single" w:sz="4" w:space="0" w:color="auto"/>
              <w:left w:val="nil"/>
              <w:bottom w:val="single" w:sz="4" w:space="0" w:color="auto"/>
              <w:right w:val="single" w:sz="4" w:space="0" w:color="auto"/>
            </w:tcBorders>
            <w:shd w:val="clear" w:color="auto" w:fill="D9D9D9" w:themeFill="background1" w:themeFillShade="D9"/>
            <w:noWrap/>
          </w:tcPr>
          <w:p w14:paraId="4ADCC795" w14:textId="77777777" w:rsidR="00F96509" w:rsidRPr="00884B00" w:rsidRDefault="00F96509" w:rsidP="00CE4E4E">
            <w:pPr>
              <w:keepNext/>
              <w:rPr>
                <w:b/>
                <w:bCs/>
                <w:noProof/>
                <w:color w:val="000000"/>
              </w:rPr>
            </w:pPr>
            <w:r w:rsidRPr="00884B00">
              <w:rPr>
                <w:b/>
                <w:noProof/>
              </w:rPr>
              <w:t>-</w:t>
            </w:r>
          </w:p>
        </w:tc>
      </w:tr>
    </w:tbl>
    <w:p w14:paraId="6FD3694A" w14:textId="7864CC8B" w:rsidR="00F96509" w:rsidRPr="00884B00" w:rsidRDefault="00F96509" w:rsidP="00CE4E4E">
      <w:pPr>
        <w:pStyle w:val="Caption"/>
        <w:spacing w:before="120" w:after="120"/>
        <w:rPr>
          <w:i w:val="0"/>
          <w:noProof/>
          <w:sz w:val="18"/>
          <w:szCs w:val="18"/>
        </w:rPr>
      </w:pPr>
      <w:r w:rsidRPr="00884B00">
        <w:rPr>
          <w:noProof/>
          <w:sz w:val="18"/>
        </w:rPr>
        <w:t xml:space="preserve">Tabelul </w:t>
      </w:r>
      <w:r w:rsidRPr="00884B00">
        <w:rPr>
          <w:noProof/>
          <w:sz w:val="18"/>
        </w:rPr>
        <w:fldChar w:fldCharType="begin"/>
      </w:r>
      <w:r w:rsidRPr="00884B00">
        <w:rPr>
          <w:noProof/>
          <w:sz w:val="18"/>
        </w:rPr>
        <w:instrText xml:space="preserve"> SEQ Table \* ARABIC </w:instrText>
      </w:r>
      <w:r w:rsidRPr="00884B00">
        <w:rPr>
          <w:noProof/>
          <w:sz w:val="18"/>
        </w:rPr>
        <w:fldChar w:fldCharType="separate"/>
      </w:r>
      <w:r w:rsidRPr="00884B00">
        <w:rPr>
          <w:noProof/>
          <w:sz w:val="18"/>
        </w:rPr>
        <w:t>2</w:t>
      </w:r>
      <w:r w:rsidRPr="00884B00">
        <w:rPr>
          <w:noProof/>
          <w:sz w:val="18"/>
        </w:rPr>
        <w:fldChar w:fldCharType="end"/>
      </w:r>
      <w:r w:rsidRPr="00884B00">
        <w:rPr>
          <w:noProof/>
          <w:sz w:val="18"/>
        </w:rPr>
        <w:t xml:space="preserve">: Țara de origine a solicitanților și a beneficiarilor </w:t>
      </w:r>
    </w:p>
    <w:p w14:paraId="1C7B20BD" w14:textId="67CD3CC1" w:rsidR="00F96509" w:rsidRPr="00884B00" w:rsidRDefault="00F96509" w:rsidP="00CE4E4E">
      <w:pPr>
        <w:rPr>
          <w:rStyle w:val="Strong"/>
          <w:rFonts w:eastAsiaTheme="minorHAnsi"/>
          <w:noProof/>
        </w:rPr>
      </w:pPr>
      <w:r w:rsidRPr="00884B00">
        <w:rPr>
          <w:rStyle w:val="Strong"/>
          <w:noProof/>
        </w:rPr>
        <w:t>Căi de impact principale (KIP)</w:t>
      </w:r>
    </w:p>
    <w:p w14:paraId="3AA3B905" w14:textId="19E4DD2B" w:rsidR="00F96509" w:rsidRPr="00884B00" w:rsidRDefault="00F96509" w:rsidP="00CE4E4E">
      <w:pPr>
        <w:rPr>
          <w:i/>
          <w:noProof/>
        </w:rPr>
      </w:pPr>
      <w:r w:rsidRPr="00884B00">
        <w:rPr>
          <w:i/>
          <w:noProof/>
        </w:rPr>
        <w:t>Sursa: Tabloul de bord pentru KIP, date extrase la 5.1.2026</w:t>
      </w:r>
    </w:p>
    <w:p w14:paraId="35FDBDCC" w14:textId="733D7CE8" w:rsidR="00F96509" w:rsidRPr="00884B00" w:rsidRDefault="00F96509" w:rsidP="00CE4E4E">
      <w:pPr>
        <w:rPr>
          <w:noProof/>
        </w:rPr>
      </w:pPr>
      <w:r w:rsidRPr="00884B00">
        <w:rPr>
          <w:noProof/>
        </w:rPr>
        <w:t xml:space="preserve">În programul Orizont Europa au fost introduse căi de impact principale (KIP) pentru a urmări impactul programului prin indicatori pe termen scurt, mediu și lung. </w:t>
      </w:r>
    </w:p>
    <w:p w14:paraId="626711CD" w14:textId="2685873F" w:rsidR="00F96509" w:rsidRPr="00884B00" w:rsidRDefault="00F96509" w:rsidP="00CE4E4E">
      <w:pPr>
        <w:rPr>
          <w:noProof/>
        </w:rPr>
      </w:pPr>
      <w:r w:rsidRPr="00884B00">
        <w:rPr>
          <w:noProof/>
        </w:rPr>
        <w:t>Datele se bazează în principal pe sistemul de raportare periodică al proiectului. 2 664 de proiecte (14 %) erau închise la momentul prezentei analize și 40 % dintre proiecte finalizaseră cel puțin un raport periodic. Întrucât majoritatea indicatorilor pe termen mediu și lung necesită finalizarea unui număr semnificativ de proiecte înainte de a oferi rezultate semnificative, această secțiune se axează numai pe indicatorii pe termen scurt.</w:t>
      </w:r>
    </w:p>
    <w:p w14:paraId="2722C562" w14:textId="77777777" w:rsidR="00F96509" w:rsidRPr="00884B00" w:rsidRDefault="00F96509" w:rsidP="00CE4E4E">
      <w:pPr>
        <w:rPr>
          <w:i/>
          <w:iCs/>
          <w:noProof/>
        </w:rPr>
      </w:pPr>
      <w:r w:rsidRPr="00884B00">
        <w:rPr>
          <w:i/>
          <w:noProof/>
        </w:rPr>
        <w:t>Impactul științific</w:t>
      </w:r>
    </w:p>
    <w:p w14:paraId="7BFB0741" w14:textId="18EDD415" w:rsidR="00F96509" w:rsidRPr="00884B00" w:rsidRDefault="00F96509" w:rsidP="00CE4E4E">
      <w:pPr>
        <w:numPr>
          <w:ilvl w:val="0"/>
          <w:numId w:val="52"/>
        </w:numPr>
        <w:rPr>
          <w:noProof/>
        </w:rPr>
      </w:pPr>
      <w:r w:rsidRPr="00884B00">
        <w:rPr>
          <w:noProof/>
        </w:rPr>
        <w:t xml:space="preserve">Până în prezent, proiectele Orizont Europa au raportat 18 478 de publicații evaluate </w:t>
      </w:r>
      <w:r w:rsidRPr="00884B00">
        <w:rPr>
          <w:i/>
          <w:noProof/>
        </w:rPr>
        <w:t>inter pares</w:t>
      </w:r>
      <w:r w:rsidRPr="00884B00">
        <w:rPr>
          <w:noProof/>
        </w:rPr>
        <w:t xml:space="preserve"> (KIP 1).</w:t>
      </w:r>
    </w:p>
    <w:p w14:paraId="685253D4" w14:textId="213384DC" w:rsidR="00F96509" w:rsidRPr="00884B00" w:rsidRDefault="00F96509" w:rsidP="00CE4E4E">
      <w:pPr>
        <w:numPr>
          <w:ilvl w:val="0"/>
          <w:numId w:val="52"/>
        </w:numPr>
        <w:rPr>
          <w:noProof/>
        </w:rPr>
      </w:pPr>
      <w:r w:rsidRPr="00884B00">
        <w:rPr>
          <w:noProof/>
        </w:rPr>
        <w:t xml:space="preserve">Orizont Europa implică 126 407 cercetători aflați la începutul carierei (KIP 2), dintre care 44 % sunt femei. </w:t>
      </w:r>
    </w:p>
    <w:p w14:paraId="3966D8BD" w14:textId="54134852" w:rsidR="00F96509" w:rsidRPr="00884B00" w:rsidRDefault="00F96509" w:rsidP="00CE4E4E">
      <w:pPr>
        <w:numPr>
          <w:ilvl w:val="0"/>
          <w:numId w:val="52"/>
        </w:numPr>
        <w:rPr>
          <w:noProof/>
        </w:rPr>
      </w:pPr>
      <w:r w:rsidRPr="00884B00">
        <w:rPr>
          <w:noProof/>
        </w:rPr>
        <w:t>80,8 % din rezultatele cercetării produse de program (publicații, seturi de date, software) au fost puse la dispoziție cu acces deschis prin intermediul beneficiarilor (KIP 3).</w:t>
      </w:r>
    </w:p>
    <w:p w14:paraId="399593A4" w14:textId="77777777" w:rsidR="00F96509" w:rsidRPr="00884B00" w:rsidRDefault="00F96509" w:rsidP="00A4763C">
      <w:pPr>
        <w:keepNext/>
        <w:rPr>
          <w:i/>
          <w:iCs/>
          <w:noProof/>
        </w:rPr>
      </w:pPr>
      <w:r w:rsidRPr="00884B00">
        <w:rPr>
          <w:i/>
          <w:noProof/>
        </w:rPr>
        <w:t>Impactul societal</w:t>
      </w:r>
    </w:p>
    <w:p w14:paraId="3A4DD145" w14:textId="57C00F14" w:rsidR="00F96509" w:rsidRPr="00884B00" w:rsidRDefault="00F96509" w:rsidP="00CE4E4E">
      <w:pPr>
        <w:numPr>
          <w:ilvl w:val="0"/>
          <w:numId w:val="53"/>
        </w:numPr>
        <w:rPr>
          <w:noProof/>
        </w:rPr>
      </w:pPr>
      <w:r w:rsidRPr="00884B00">
        <w:rPr>
          <w:noProof/>
        </w:rPr>
        <w:t>Peste 99 % din toate rezultatele programului Orizont Europa sunt marcate ca fiind relevante pentru una dintre prioritățile de politică ale UE – fie prioritățile Comisiei pentru perioada 2019-2024, fie obiectivele de dezvoltare durabilă, fie obiectivele de adaptare la schimbările climatice/de atenuare a schimbărilor climatice (KIP 4)</w:t>
      </w:r>
      <w:r w:rsidRPr="00884B00">
        <w:rPr>
          <w:rStyle w:val="FootnoteReference"/>
          <w:noProof/>
        </w:rPr>
        <w:footnoteReference w:id="8"/>
      </w:r>
      <w:r w:rsidRPr="00884B00">
        <w:rPr>
          <w:noProof/>
        </w:rPr>
        <w:t xml:space="preserve">. </w:t>
      </w:r>
    </w:p>
    <w:p w14:paraId="566223F9" w14:textId="7E0F66C7" w:rsidR="00F96509" w:rsidRPr="00884B00" w:rsidRDefault="00F96509" w:rsidP="00CE4E4E">
      <w:pPr>
        <w:numPr>
          <w:ilvl w:val="0"/>
          <w:numId w:val="53"/>
        </w:numPr>
        <w:rPr>
          <w:noProof/>
        </w:rPr>
      </w:pPr>
      <w:r w:rsidRPr="00884B00">
        <w:rPr>
          <w:noProof/>
        </w:rPr>
        <w:t xml:space="preserve">Proiectele misiunii UE au produs 206 publicații evaluate </w:t>
      </w:r>
      <w:r w:rsidRPr="00884B00">
        <w:rPr>
          <w:i/>
          <w:noProof/>
        </w:rPr>
        <w:t>inter pares</w:t>
      </w:r>
      <w:r w:rsidRPr="00884B00">
        <w:rPr>
          <w:noProof/>
        </w:rPr>
        <w:t xml:space="preserve"> și 284 de rezultate inovatoare (KIP 5). </w:t>
      </w:r>
    </w:p>
    <w:p w14:paraId="0E0AF47B" w14:textId="2FE6CB71" w:rsidR="00F96509" w:rsidRPr="00884B00" w:rsidRDefault="00F96509" w:rsidP="00CE4E4E">
      <w:pPr>
        <w:numPr>
          <w:ilvl w:val="0"/>
          <w:numId w:val="53"/>
        </w:numPr>
        <w:rPr>
          <w:noProof/>
        </w:rPr>
      </w:pPr>
      <w:r w:rsidRPr="00884B00">
        <w:rPr>
          <w:noProof/>
        </w:rPr>
        <w:t>41 % din proiecte dispun de mecanisme structurate pentru a implica publicul sau utilizatorii finali în crearea în comun a conținutului C&amp;I (KIP 6).</w:t>
      </w:r>
    </w:p>
    <w:p w14:paraId="5551D12C" w14:textId="44177E4D" w:rsidR="00F96509" w:rsidRPr="00884B00" w:rsidRDefault="00F96509" w:rsidP="00CE4E4E">
      <w:pPr>
        <w:rPr>
          <w:i/>
          <w:iCs/>
          <w:noProof/>
        </w:rPr>
      </w:pPr>
      <w:r w:rsidRPr="00884B00">
        <w:rPr>
          <w:i/>
          <w:noProof/>
        </w:rPr>
        <w:t xml:space="preserve">Impactul economic/tehnologic </w:t>
      </w:r>
    </w:p>
    <w:p w14:paraId="3ED2718E" w14:textId="55300582" w:rsidR="00F96509" w:rsidRPr="00884B00" w:rsidRDefault="00F96509" w:rsidP="00CE4E4E">
      <w:pPr>
        <w:numPr>
          <w:ilvl w:val="0"/>
          <w:numId w:val="52"/>
        </w:numPr>
        <w:rPr>
          <w:noProof/>
        </w:rPr>
      </w:pPr>
      <w:r w:rsidRPr="00884B00">
        <w:rPr>
          <w:noProof/>
        </w:rPr>
        <w:t>Proiectele au raportat 7 645 de realizări inovatoare (produse, procese, metode etc.). În plus, beneficiarii au declarat deja 283 de rezultate neconfidențiale privind drepturile de proprietate intelectuală, dintre care 94 de cereri de brevet – un număr care se preconizează că va crește după ce confidențialitatea va fi eliminată din majoritatea cererilor (KIP 7).</w:t>
      </w:r>
    </w:p>
    <w:p w14:paraId="2A5B35FF" w14:textId="77777777" w:rsidR="00F96509" w:rsidRPr="00884B00" w:rsidRDefault="00F96509" w:rsidP="00CE4E4E">
      <w:pPr>
        <w:numPr>
          <w:ilvl w:val="0"/>
          <w:numId w:val="52"/>
        </w:numPr>
        <w:rPr>
          <w:noProof/>
        </w:rPr>
      </w:pPr>
      <w:r w:rsidRPr="00884B00">
        <w:rPr>
          <w:noProof/>
        </w:rPr>
        <w:t xml:space="preserve">Proiectele finanțate sprijină cel puțin 95 798 de locuri de muncă (angajați cu echivalent normă întreagă) în entitățile juridice participante (KIP 8). </w:t>
      </w:r>
    </w:p>
    <w:p w14:paraId="08333036" w14:textId="3CC6BF0F" w:rsidR="00F96509" w:rsidRPr="00884B00" w:rsidRDefault="00F96509" w:rsidP="00CE4E4E">
      <w:pPr>
        <w:numPr>
          <w:ilvl w:val="0"/>
          <w:numId w:val="52"/>
        </w:numPr>
        <w:rPr>
          <w:rStyle w:val="Strong"/>
          <w:b w:val="0"/>
          <w:bCs w:val="0"/>
          <w:noProof/>
        </w:rPr>
      </w:pPr>
      <w:r w:rsidRPr="00884B00">
        <w:rPr>
          <w:noProof/>
        </w:rPr>
        <w:t xml:space="preserve">Pe lângă investiția inițială din partea UE, participanții la proiecte au realizat coinvestiții directe de cel puțin 12,9 miliarde EUR (KIP 9). </w:t>
      </w:r>
    </w:p>
    <w:p w14:paraId="2ECD406A" w14:textId="2F9C79BE" w:rsidR="00F96509" w:rsidRPr="00884B00" w:rsidRDefault="00F96509" w:rsidP="00CE4E4E">
      <w:pPr>
        <w:rPr>
          <w:rStyle w:val="Strong"/>
          <w:rFonts w:eastAsiaTheme="minorHAnsi"/>
          <w:noProof/>
        </w:rPr>
      </w:pPr>
      <w:r w:rsidRPr="00884B00">
        <w:rPr>
          <w:rStyle w:val="Strong"/>
          <w:noProof/>
        </w:rPr>
        <w:t>Accentul pus pe parteneriatele europene</w:t>
      </w:r>
    </w:p>
    <w:p w14:paraId="132CF036" w14:textId="7E30D226" w:rsidR="00F96509" w:rsidRPr="00884B00" w:rsidRDefault="00F96509" w:rsidP="00CE4E4E">
      <w:pPr>
        <w:rPr>
          <w:i/>
          <w:noProof/>
        </w:rPr>
      </w:pPr>
      <w:r w:rsidRPr="00884B00">
        <w:rPr>
          <w:i/>
          <w:noProof/>
        </w:rPr>
        <w:t>Sursa: Tabloul de bord al proiectelor Orizont Europa, date extrase la 5.1.2026</w:t>
      </w:r>
    </w:p>
    <w:p w14:paraId="3E0808F5" w14:textId="28CAA618" w:rsidR="00F96509" w:rsidRPr="00884B00" w:rsidRDefault="00AA0CFA" w:rsidP="00CE4E4E">
      <w:pPr>
        <w:rPr>
          <w:noProof/>
          <w:highlight w:val="cyan"/>
        </w:rPr>
      </w:pPr>
      <w:r w:rsidRPr="00884B00">
        <w:rPr>
          <w:noProof/>
        </w:rPr>
        <w:t xml:space="preserve">Până la sfârșitul anului 2025, erau active 54 de parteneriate europene, dintre care două urmau să fie semnate în ianuarie 2026, iar alte patru urmau să fie semnate ulterior. În total, au fost semnate 1 345 de granturi în cadrul tuturor parteneriatelor, implicând 9 568 de participanți unici și reprezentând o contribuție a UE de 12,5 miliarde EUR. </w:t>
      </w:r>
    </w:p>
    <w:p w14:paraId="7E0A5470" w14:textId="26E31C50" w:rsidR="00D1586E" w:rsidRPr="00884B00" w:rsidRDefault="00185284" w:rsidP="00CE4E4E">
      <w:pPr>
        <w:rPr>
          <w:noProof/>
        </w:rPr>
      </w:pPr>
      <w:r w:rsidRPr="00884B00">
        <w:rPr>
          <w:noProof/>
        </w:rPr>
        <w:t xml:space="preserve">Începând din 2021, </w:t>
      </w:r>
      <w:r w:rsidRPr="00884B00">
        <w:rPr>
          <w:b/>
          <w:noProof/>
        </w:rPr>
        <w:t>10 întreprinderi comune active</w:t>
      </w:r>
      <w:r w:rsidRPr="00884B00">
        <w:rPr>
          <w:rStyle w:val="FootnoteReference"/>
          <w:noProof/>
        </w:rPr>
        <w:footnoteReference w:id="9"/>
      </w:r>
      <w:r w:rsidRPr="00884B00">
        <w:rPr>
          <w:noProof/>
        </w:rPr>
        <w:t xml:space="preserve"> au semnat 701 granturi în valoare totală de </w:t>
      </w:r>
      <w:r w:rsidRPr="00884B00">
        <w:rPr>
          <w:b/>
          <w:noProof/>
        </w:rPr>
        <w:t>6,7 miliarde EUR</w:t>
      </w:r>
      <w:r w:rsidRPr="00884B00">
        <w:rPr>
          <w:noProof/>
        </w:rPr>
        <w:t xml:space="preserve">, implicând 5 350 de participanți unici. În plus, </w:t>
      </w:r>
      <w:r w:rsidRPr="00884B00">
        <w:rPr>
          <w:b/>
          <w:noProof/>
        </w:rPr>
        <w:t>4,3 miliarde EUR</w:t>
      </w:r>
      <w:r w:rsidRPr="00884B00">
        <w:rPr>
          <w:noProof/>
        </w:rPr>
        <w:t xml:space="preserve"> din programul Orizont Europa au sprijinit 11 </w:t>
      </w:r>
      <w:r w:rsidRPr="00884B00">
        <w:rPr>
          <w:b/>
          <w:noProof/>
        </w:rPr>
        <w:t>parteneriate programate în comun</w:t>
      </w:r>
      <w:r w:rsidRPr="00884B00">
        <w:rPr>
          <w:noProof/>
        </w:rPr>
        <w:t xml:space="preserve">, cu 635 de granturi acordate unui număr de 4 944 de organizații distincte. În ceea ce privește </w:t>
      </w:r>
      <w:r w:rsidRPr="00884B00">
        <w:rPr>
          <w:b/>
          <w:noProof/>
        </w:rPr>
        <w:t>parteneriatele cofinanțate</w:t>
      </w:r>
      <w:r w:rsidRPr="00884B00">
        <w:rPr>
          <w:noProof/>
        </w:rPr>
        <w:t xml:space="preserve">, au fost semnate 18 acorduri de grant în valoare totală de 1,5 miliarde EUR, implicând 754 de participanți unici. </w:t>
      </w:r>
    </w:p>
    <w:p w14:paraId="3F6DD895" w14:textId="50C47B69" w:rsidR="00F96509" w:rsidRPr="00884B00" w:rsidRDefault="00F96509" w:rsidP="00CE4E4E">
      <w:pPr>
        <w:rPr>
          <w:b/>
          <w:bCs/>
          <w:noProof/>
        </w:rPr>
      </w:pPr>
      <w:r w:rsidRPr="00884B00">
        <w:rPr>
          <w:b/>
          <w:noProof/>
        </w:rPr>
        <w:t>Accentul pus pe misiunile UE</w:t>
      </w:r>
    </w:p>
    <w:p w14:paraId="741A98A1" w14:textId="39E515E0" w:rsidR="00F96509" w:rsidRPr="00884B00" w:rsidRDefault="00F96509" w:rsidP="00CE4E4E">
      <w:pPr>
        <w:rPr>
          <w:i/>
          <w:noProof/>
        </w:rPr>
      </w:pPr>
      <w:r w:rsidRPr="00884B00">
        <w:rPr>
          <w:i/>
          <w:noProof/>
        </w:rPr>
        <w:t>Sursa: Tablourile de bord ale propunerilor și proiectelor Orizont Europa, date extrase la 5.1.2026</w:t>
      </w:r>
    </w:p>
    <w:p w14:paraId="4B24E23D" w14:textId="2E504277" w:rsidR="003F3D73" w:rsidRPr="00884B00" w:rsidRDefault="00F41E29" w:rsidP="00CE4E4E">
      <w:pPr>
        <w:rPr>
          <w:noProof/>
        </w:rPr>
      </w:pPr>
      <w:r w:rsidRPr="00884B00">
        <w:rPr>
          <w:noProof/>
        </w:rPr>
        <w:t>În programul de lucru pentru 2025, au fost lansate nouă cereri de propuneri pentru misiuni. Între 2021 și 2025, cererile de propuneri legate de misiuni au atras 1 515 propuneri eligibile. Au fost semnate 321 de granturi, implicând 3 845 de beneficiari și având o valoare totală de 2,48 miliarde EUR.</w:t>
      </w:r>
    </w:p>
    <w:p w14:paraId="0CB4755B" w14:textId="77777777" w:rsidR="00F96509" w:rsidRPr="00884B00" w:rsidRDefault="00F96509" w:rsidP="00CE4E4E">
      <w:pPr>
        <w:pStyle w:val="Heading2"/>
        <w:rPr>
          <w:noProof/>
        </w:rPr>
      </w:pPr>
      <w:r w:rsidRPr="00884B00">
        <w:rPr>
          <w:noProof/>
        </w:rPr>
        <w:t>Analiză aprofundată: Monitorizarea programului Orizont Europa și alte studii</w:t>
      </w:r>
    </w:p>
    <w:p w14:paraId="0206D67D" w14:textId="7327D42A" w:rsidR="00F96509" w:rsidRPr="00884B00" w:rsidRDefault="00F96509" w:rsidP="00CE4E4E">
      <w:pPr>
        <w:rPr>
          <w:noProof/>
        </w:rPr>
      </w:pPr>
      <w:r w:rsidRPr="00884B00">
        <w:rPr>
          <w:noProof/>
        </w:rPr>
        <w:t>În 2025 au fost publicate mai multe rapoarte tematice privind punerea în aplicare și performanța programului Orizont Europa:</w:t>
      </w:r>
    </w:p>
    <w:p w14:paraId="5B5F3640" w14:textId="3E2F7250" w:rsidR="00F96509" w:rsidRPr="00884B00" w:rsidRDefault="003813D3" w:rsidP="00CE4E4E">
      <w:pPr>
        <w:numPr>
          <w:ilvl w:val="0"/>
          <w:numId w:val="54"/>
        </w:numPr>
        <w:rPr>
          <w:noProof/>
        </w:rPr>
      </w:pPr>
      <w:r w:rsidRPr="00884B00">
        <w:rPr>
          <w:noProof/>
        </w:rPr>
        <w:t xml:space="preserve">un scurt raport de monitorizare care prezintă o </w:t>
      </w:r>
      <w:hyperlink r:id="rId74" w:history="1">
        <w:r w:rsidRPr="00884B00">
          <w:rPr>
            <w:rStyle w:val="Hyperlink"/>
            <w:noProof/>
          </w:rPr>
          <w:t>imagine de ansamblu a egalității de gen în programele de C&amp;I ale UE</w:t>
        </w:r>
      </w:hyperlink>
      <w:r w:rsidRPr="00884B00">
        <w:rPr>
          <w:noProof/>
        </w:rPr>
        <w:t>;</w:t>
      </w:r>
    </w:p>
    <w:p w14:paraId="6EB121F9" w14:textId="6296A478" w:rsidR="00F96509" w:rsidRPr="00884B00" w:rsidRDefault="003813D3" w:rsidP="00CE4E4E">
      <w:pPr>
        <w:numPr>
          <w:ilvl w:val="0"/>
          <w:numId w:val="54"/>
        </w:numPr>
        <w:rPr>
          <w:noProof/>
        </w:rPr>
      </w:pPr>
      <w:r w:rsidRPr="00884B00">
        <w:rPr>
          <w:noProof/>
        </w:rPr>
        <w:t xml:space="preserve">un scurt raport de monitorizare care prezintă </w:t>
      </w:r>
      <w:hyperlink r:id="rId75" w:history="1">
        <w:r w:rsidRPr="00884B00">
          <w:rPr>
            <w:rStyle w:val="Hyperlink"/>
            <w:noProof/>
          </w:rPr>
          <w:t>contribuția programului Orizont Europa la cele cinci misiuni ale UE</w:t>
        </w:r>
      </w:hyperlink>
      <w:r w:rsidRPr="00884B00">
        <w:rPr>
          <w:noProof/>
        </w:rPr>
        <w:t>;</w:t>
      </w:r>
    </w:p>
    <w:p w14:paraId="1C712D71" w14:textId="7E565715" w:rsidR="00F96509" w:rsidRPr="00884B00" w:rsidRDefault="003813D3" w:rsidP="00CE4E4E">
      <w:pPr>
        <w:numPr>
          <w:ilvl w:val="0"/>
          <w:numId w:val="54"/>
        </w:numPr>
        <w:rPr>
          <w:noProof/>
        </w:rPr>
      </w:pPr>
      <w:r w:rsidRPr="00884B00">
        <w:rPr>
          <w:noProof/>
        </w:rPr>
        <w:t xml:space="preserve">un studiu care dezvoltă o </w:t>
      </w:r>
      <w:hyperlink r:id="rId76" w:history="1">
        <w:r w:rsidRPr="00884B00">
          <w:rPr>
            <w:rStyle w:val="Hyperlink"/>
            <w:noProof/>
          </w:rPr>
          <w:t>cuantificare a beneficiilor pentru mediu ale programului Orizont Europa</w:t>
        </w:r>
      </w:hyperlink>
      <w:r w:rsidRPr="00884B00">
        <w:rPr>
          <w:noProof/>
        </w:rPr>
        <w:t>, în special prin economii de energie sau de resurse;</w:t>
      </w:r>
    </w:p>
    <w:p w14:paraId="3CE915C0" w14:textId="211BEB29" w:rsidR="00F96509" w:rsidRPr="00884B00" w:rsidRDefault="003813D3" w:rsidP="00CE4E4E">
      <w:pPr>
        <w:numPr>
          <w:ilvl w:val="0"/>
          <w:numId w:val="54"/>
        </w:numPr>
        <w:rPr>
          <w:noProof/>
        </w:rPr>
      </w:pPr>
      <w:r w:rsidRPr="00884B00">
        <w:rPr>
          <w:noProof/>
        </w:rPr>
        <w:t xml:space="preserve">un studiu de evaluare a </w:t>
      </w:r>
      <w:hyperlink r:id="rId77" w:history="1">
        <w:r w:rsidRPr="00884B00">
          <w:rPr>
            <w:rStyle w:val="Hyperlink"/>
            <w:noProof/>
          </w:rPr>
          <w:t>impactului macroeconomic al programului Orizont Europa</w:t>
        </w:r>
      </w:hyperlink>
      <w:r w:rsidRPr="00884B00">
        <w:rPr>
          <w:noProof/>
        </w:rPr>
        <w:t xml:space="preserve"> asupra PIB-ului și a ocupării forței de muncă;</w:t>
      </w:r>
    </w:p>
    <w:p w14:paraId="54F44E73" w14:textId="3B5C9B63" w:rsidR="00F96509" w:rsidRPr="00884B00" w:rsidRDefault="003813D3" w:rsidP="00CE4E4E">
      <w:pPr>
        <w:numPr>
          <w:ilvl w:val="0"/>
          <w:numId w:val="54"/>
        </w:numPr>
        <w:rPr>
          <w:noProof/>
        </w:rPr>
      </w:pPr>
      <w:r w:rsidRPr="00884B00">
        <w:rPr>
          <w:noProof/>
        </w:rPr>
        <w:t xml:space="preserve">un scurt raport de monitorizare privind </w:t>
      </w:r>
      <w:hyperlink r:id="rId78" w:history="1">
        <w:r w:rsidRPr="00884B00">
          <w:rPr>
            <w:rStyle w:val="Hyperlink"/>
            <w:noProof/>
          </w:rPr>
          <w:t>utilizarea nivelurilor de maturitate tehnologică în cadrul programului Orizont Europa</w:t>
        </w:r>
      </w:hyperlink>
      <w:r w:rsidRPr="00884B00">
        <w:rPr>
          <w:noProof/>
        </w:rPr>
        <w:t>;</w:t>
      </w:r>
    </w:p>
    <w:p w14:paraId="3B727A9A" w14:textId="7CE3AF1A" w:rsidR="00F96509" w:rsidRPr="00884B00" w:rsidRDefault="003813D3" w:rsidP="00CE4E4E">
      <w:pPr>
        <w:numPr>
          <w:ilvl w:val="0"/>
          <w:numId w:val="54"/>
        </w:numPr>
        <w:rPr>
          <w:rFonts w:eastAsia="Aptos"/>
          <w:noProof/>
        </w:rPr>
      </w:pPr>
      <w:r w:rsidRPr="00884B00">
        <w:rPr>
          <w:noProof/>
        </w:rPr>
        <w:t xml:space="preserve">un studiu care face bilanțul a </w:t>
      </w:r>
      <w:hyperlink r:id="rId79" w:history="1">
        <w:r w:rsidRPr="00884B00">
          <w:rPr>
            <w:rStyle w:val="Hyperlink"/>
            <w:noProof/>
          </w:rPr>
          <w:t>20 de ani de cercetare (civilă) în domeniul securității finanțată de UE</w:t>
        </w:r>
      </w:hyperlink>
      <w:r w:rsidRPr="00884B00">
        <w:rPr>
          <w:noProof/>
        </w:rPr>
        <w:t>.</w:t>
      </w:r>
    </w:p>
    <w:p w14:paraId="31D64435" w14:textId="77777777" w:rsidR="00F96509" w:rsidRPr="00884B00" w:rsidRDefault="00F96509" w:rsidP="00CE4E4E">
      <w:pPr>
        <w:rPr>
          <w:b/>
          <w:bCs/>
          <w:noProof/>
        </w:rPr>
      </w:pPr>
      <w:r w:rsidRPr="00884B00">
        <w:rPr>
          <w:b/>
          <w:noProof/>
        </w:rPr>
        <w:t>Evaluarea intermediară a programului Orizont Europa</w:t>
      </w:r>
    </w:p>
    <w:p w14:paraId="1AED93A1" w14:textId="58129AD5" w:rsidR="00544698" w:rsidRPr="00884B00" w:rsidRDefault="001A5F7A" w:rsidP="00CE4E4E">
      <w:pPr>
        <w:rPr>
          <w:noProof/>
        </w:rPr>
      </w:pPr>
      <w:r w:rsidRPr="00884B00">
        <w:rPr>
          <w:noProof/>
        </w:rPr>
        <w:t xml:space="preserve">În aprilie, Comisia a publicat </w:t>
      </w:r>
      <w:hyperlink r:id="rId80" w:history="1">
        <w:r w:rsidRPr="00884B00">
          <w:rPr>
            <w:rStyle w:val="Hyperlink"/>
            <w:noProof/>
          </w:rPr>
          <w:t>evaluarea intermediară</w:t>
        </w:r>
      </w:hyperlink>
      <w:r w:rsidRPr="00884B00">
        <w:rPr>
          <w:noProof/>
        </w:rPr>
        <w:t xml:space="preserve"> a programului Orizont Europa. De asemenea, a fost emisă o comunicare către Parlamentul European și Consiliu, care oferă </w:t>
      </w:r>
      <w:hyperlink r:id="rId81" w:history="1">
        <w:r w:rsidRPr="00884B00">
          <w:rPr>
            <w:rStyle w:val="Hyperlink"/>
            <w:noProof/>
          </w:rPr>
          <w:t>lecții învățate și propuneri de acțiuni viitoare</w:t>
        </w:r>
      </w:hyperlink>
      <w:r w:rsidRPr="00884B00">
        <w:rPr>
          <w:noProof/>
        </w:rPr>
        <w:t>. Principalele constatări arată impactul puternic al programului Orizont Europa prin inovații concrete și prin excelența sa științifică. Programul amplifică impactul inovării, fiecare euro investit prin intermediul Fondului CEI atrăgând peste trei euro în investiții private. De asemenea, participarea statelor membre vizate de extinderea participării a crescut la 58 %, de la 47 % în cadrul programului Orizont 2020.</w:t>
      </w:r>
    </w:p>
    <w:p w14:paraId="4CDC1E23" w14:textId="395A4A52" w:rsidR="00F96509" w:rsidRPr="00884B00" w:rsidRDefault="00F96509" w:rsidP="00A4763C">
      <w:pPr>
        <w:keepNext/>
        <w:rPr>
          <w:b/>
          <w:bCs/>
          <w:noProof/>
        </w:rPr>
      </w:pPr>
      <w:r w:rsidRPr="00884B00">
        <w:rPr>
          <w:b/>
          <w:noProof/>
        </w:rPr>
        <w:t>Evaluarea impactului și propunere pentru viitorul program Orizont Europa și pentru Fondul european pentru competitivitate</w:t>
      </w:r>
    </w:p>
    <w:p w14:paraId="1C2504F3" w14:textId="7A38ED28" w:rsidR="00F96509" w:rsidRPr="00884B00" w:rsidRDefault="008C62B4" w:rsidP="00CE4E4E">
      <w:pPr>
        <w:rPr>
          <w:noProof/>
        </w:rPr>
      </w:pPr>
      <w:r w:rsidRPr="00884B00">
        <w:rPr>
          <w:noProof/>
        </w:rPr>
        <w:t xml:space="preserve">Comisia a publicat, de asemenea, o </w:t>
      </w:r>
      <w:hyperlink r:id="rId82">
        <w:r w:rsidRPr="00884B00">
          <w:rPr>
            <w:rStyle w:val="Hyperlink"/>
            <w:noProof/>
          </w:rPr>
          <w:t>evaluare a impactului pentru viitorul program Orizont Europa (2028-2034) și un nou Fond european pentru competitivitate</w:t>
        </w:r>
      </w:hyperlink>
      <w:r w:rsidRPr="00884B00">
        <w:rPr>
          <w:noProof/>
        </w:rPr>
        <w:t xml:space="preserve">. Ulterior, a adoptat propuneri pentru cele două programe interconectate, care vor sprijini întregul parcurs al inovării, de la laborator la piață. În urma adoptării lor de către Comisie în iulie, propunerile sunt în prezent în curs de negociere între colegiuitori. </w:t>
      </w:r>
    </w:p>
    <w:p w14:paraId="0DB9422F" w14:textId="6EB076DE" w:rsidR="00517B47" w:rsidRPr="00884B00" w:rsidRDefault="00517B47" w:rsidP="00CE4E4E">
      <w:pPr>
        <w:pStyle w:val="Heading2"/>
        <w:rPr>
          <w:noProof/>
        </w:rPr>
      </w:pPr>
      <w:r w:rsidRPr="00884B00">
        <w:rPr>
          <w:noProof/>
        </w:rPr>
        <w:t>Diseminare și exploatare</w:t>
      </w:r>
    </w:p>
    <w:p w14:paraId="5F3CFF5E" w14:textId="384FD4C1" w:rsidR="007D7A52" w:rsidRPr="00884B00" w:rsidRDefault="00DD15C7" w:rsidP="00CE4E4E">
      <w:pPr>
        <w:rPr>
          <w:rFonts w:eastAsia="Aptos"/>
          <w:noProof/>
        </w:rPr>
      </w:pPr>
      <w:r w:rsidRPr="00884B00">
        <w:rPr>
          <w:noProof/>
        </w:rPr>
        <w:t xml:space="preserve">Comisia a gestionat și a dezvoltat în continuare </w:t>
      </w:r>
      <w:hyperlink r:id="rId83" w:history="1">
        <w:r w:rsidRPr="00884B00">
          <w:rPr>
            <w:rStyle w:val="Hyperlink"/>
            <w:noProof/>
            <w:color w:val="467886"/>
          </w:rPr>
          <w:t>platforma de prezentare a rezultatelor programului Orizont</w:t>
        </w:r>
      </w:hyperlink>
      <w:r w:rsidRPr="00884B00">
        <w:rPr>
          <w:noProof/>
        </w:rPr>
        <w:t xml:space="preserve"> și serviciul </w:t>
      </w:r>
      <w:hyperlink r:id="rId84" w:history="1">
        <w:r w:rsidRPr="00884B00">
          <w:rPr>
            <w:rStyle w:val="Hyperlink"/>
            <w:noProof/>
            <w:color w:val="467886"/>
          </w:rPr>
          <w:t>Booster</w:t>
        </w:r>
      </w:hyperlink>
      <w:r w:rsidRPr="00884B00">
        <w:rPr>
          <w:noProof/>
        </w:rPr>
        <w:t xml:space="preserve"> pentru a sprijini beneficiarii programului Orizont Europa în diseminarea și exploatarea rezultatelor lor. Platforma de prezentare a rezultatelor programului Orizont a înregistrat 569 de noi rezultate încărcate și a sprijinit în mod activ 25 de întreprinderi în procesul lor de intrare pe piață, cu finanțare specifică și oportunități de a participa la evenimente destinate investitorilor. Booster a furnizat 764 de servicii pentru 1 602 beneficiari, de la diseminare până la sprijinul pentru intrarea pe piață. </w:t>
      </w:r>
    </w:p>
    <w:p w14:paraId="35C606ED" w14:textId="0B02427F" w:rsidR="2B694D0F" w:rsidRPr="00884B00" w:rsidRDefault="21DD01F5" w:rsidP="00CE4E4E">
      <w:pPr>
        <w:rPr>
          <w:noProof/>
        </w:rPr>
      </w:pPr>
      <w:r w:rsidRPr="00884B00">
        <w:rPr>
          <w:noProof/>
        </w:rPr>
        <w:t xml:space="preserve">Comisia a produs mai multe publicații </w:t>
      </w:r>
      <w:hyperlink r:id="rId85" w:history="1">
        <w:r w:rsidRPr="00884B00">
          <w:rPr>
            <w:rStyle w:val="Hyperlink"/>
            <w:noProof/>
            <w:color w:val="467886"/>
          </w:rPr>
          <w:t>CORDIS</w:t>
        </w:r>
      </w:hyperlink>
      <w:r w:rsidRPr="00884B00">
        <w:rPr>
          <w:noProof/>
        </w:rPr>
        <w:t xml:space="preserve">, inclusiv 20 de pachete tematice, 10 materiale video „Rezultate pe scurt” și 10 episoade de podcasturi CORDIScovery. </w:t>
      </w:r>
    </w:p>
    <w:p w14:paraId="41B82B11" w14:textId="1A2E568B" w:rsidR="004551DD" w:rsidRPr="00884B00" w:rsidRDefault="00517B47" w:rsidP="00CE4E4E">
      <w:pPr>
        <w:pStyle w:val="Heading2"/>
        <w:rPr>
          <w:noProof/>
        </w:rPr>
      </w:pPr>
      <w:r w:rsidRPr="00884B00">
        <w:rPr>
          <w:noProof/>
        </w:rPr>
        <w:t>Punerea în aplicare și monitorizarea Programului Euratom</w:t>
      </w:r>
    </w:p>
    <w:p w14:paraId="76CCB2BB" w14:textId="62CE3890" w:rsidR="008A5B87" w:rsidRPr="00884B00" w:rsidRDefault="008A5B87" w:rsidP="00CE4E4E">
      <w:pPr>
        <w:spacing w:line="259" w:lineRule="auto"/>
        <w:rPr>
          <w:noProof/>
        </w:rPr>
      </w:pPr>
      <w:r w:rsidRPr="00884B00">
        <w:rPr>
          <w:noProof/>
        </w:rPr>
        <w:t xml:space="preserve">În urma </w:t>
      </w:r>
      <w:hyperlink r:id="rId86" w:history="1">
        <w:r w:rsidRPr="00884B00">
          <w:rPr>
            <w:rStyle w:val="Hyperlink"/>
            <w:noProof/>
          </w:rPr>
          <w:t>propunerii</w:t>
        </w:r>
      </w:hyperlink>
      <w:r w:rsidRPr="00884B00">
        <w:rPr>
          <w:noProof/>
        </w:rPr>
        <w:t xml:space="preserve"> Comisiei, Consiliul a adoptat o </w:t>
      </w:r>
      <w:hyperlink r:id="rId87" w:history="1">
        <w:r w:rsidRPr="00884B00">
          <w:rPr>
            <w:rStyle w:val="Hyperlink"/>
            <w:noProof/>
          </w:rPr>
          <w:t>prelungire a Programului pentru cercetare și formare al Euratom</w:t>
        </w:r>
      </w:hyperlink>
      <w:r w:rsidRPr="00884B00">
        <w:rPr>
          <w:noProof/>
        </w:rPr>
        <w:t xml:space="preserve"> pentru 2026 și 2027, susținută de </w:t>
      </w:r>
      <w:hyperlink r:id="rId88" w:history="1">
        <w:r w:rsidRPr="00884B00">
          <w:rPr>
            <w:rStyle w:val="Hyperlink"/>
            <w:noProof/>
          </w:rPr>
          <w:t>evaluarea intermediară</w:t>
        </w:r>
      </w:hyperlink>
      <w:r w:rsidRPr="00884B00">
        <w:rPr>
          <w:noProof/>
        </w:rPr>
        <w:t xml:space="preserve"> a programului pentru perioada 2021-2025.</w:t>
      </w:r>
    </w:p>
    <w:p w14:paraId="4297B0B4" w14:textId="7520E8AE" w:rsidR="008A5B87" w:rsidRPr="00884B00" w:rsidRDefault="008A5B87" w:rsidP="00CE4E4E">
      <w:pPr>
        <w:spacing w:line="259" w:lineRule="auto"/>
        <w:rPr>
          <w:noProof/>
        </w:rPr>
      </w:pPr>
      <w:r w:rsidRPr="00884B00">
        <w:rPr>
          <w:noProof/>
        </w:rPr>
        <w:t>Programul pentru perioada 2021-2025 dispune de un buget total de 1,38 miliarde EUR. El este pus în aplicare prin acțiuni directe și indirecte, reprezentând 38,5 % și, respectiv, 61,5 % din buget. În cadrul componentei de acțiuni indirecte, până la sfârșitul anului 2025 fuseseră semnate 61 de granturi pentru proiecte, inclusiv patru parteneriate cofinanțate. Ele au reunit 578 de participanți unici și au reprezentat contribuții Euratom în valoare de 816 milioane EUR.</w:t>
      </w:r>
    </w:p>
    <w:p w14:paraId="596E1526" w14:textId="44EEA153" w:rsidR="00B26ABE" w:rsidRPr="00884B00" w:rsidRDefault="00D46450" w:rsidP="00CE4E4E">
      <w:pPr>
        <w:spacing w:line="259" w:lineRule="auto"/>
        <w:rPr>
          <w:noProof/>
        </w:rPr>
      </w:pPr>
      <w:r w:rsidRPr="00884B00">
        <w:rPr>
          <w:noProof/>
        </w:rPr>
        <w:t xml:space="preserve">În septembrie, Comisia și-a prezentat propunerea pentru următorul program de cercetare și formare al Euratom (2028-2032). </w:t>
      </w:r>
    </w:p>
    <w:p w14:paraId="5CB92751" w14:textId="60073F22" w:rsidR="00517B47" w:rsidRPr="00884B00" w:rsidRDefault="00517B47" w:rsidP="00CE4E4E">
      <w:pPr>
        <w:numPr>
          <w:ilvl w:val="0"/>
          <w:numId w:val="50"/>
        </w:numPr>
        <w:rPr>
          <w:b/>
          <w:bCs/>
          <w:noProof/>
        </w:rPr>
      </w:pPr>
      <w:r w:rsidRPr="00884B00">
        <w:rPr>
          <w:b/>
          <w:noProof/>
        </w:rPr>
        <w:t>Acțiuni directe în domeniul nuclear implementate de Centrul Comun de Cercetare (JRC)</w:t>
      </w:r>
    </w:p>
    <w:p w14:paraId="0377148D" w14:textId="50234824" w:rsidR="00567360" w:rsidRPr="00884B00" w:rsidRDefault="00567360" w:rsidP="00CE4E4E">
      <w:pPr>
        <w:rPr>
          <w:iCs/>
          <w:noProof/>
        </w:rPr>
      </w:pPr>
      <w:r w:rsidRPr="00884B00">
        <w:rPr>
          <w:noProof/>
        </w:rPr>
        <w:t xml:space="preserve">În 2025, JRC a furnizat 102 articole evaluate </w:t>
      </w:r>
      <w:r w:rsidRPr="00884B00">
        <w:rPr>
          <w:i/>
          <w:noProof/>
        </w:rPr>
        <w:t>inter pares</w:t>
      </w:r>
      <w:r w:rsidRPr="00884B00">
        <w:rPr>
          <w:noProof/>
        </w:rPr>
        <w:t xml:space="preserve"> pe teme de cercetare nucleară, 90 de rapoarte tehnice, trei materiale de referință și trei metode validate încorporate în bibliotecile nucleare internaționale, patru sisteme tehnice menite să consolideze garanțiile nucleare și o contribuție la standardele internaționale.</w:t>
      </w:r>
    </w:p>
    <w:p w14:paraId="28226D6B" w14:textId="30A12B88" w:rsidR="00567360" w:rsidRPr="00884B00" w:rsidRDefault="00B26ABE" w:rsidP="00CE4E4E">
      <w:pPr>
        <w:rPr>
          <w:iCs/>
          <w:noProof/>
        </w:rPr>
      </w:pPr>
      <w:r w:rsidRPr="00884B00">
        <w:rPr>
          <w:noProof/>
        </w:rPr>
        <w:t xml:space="preserve">JRC a contribuit la </w:t>
      </w:r>
      <w:hyperlink r:id="rId89" w:history="1">
        <w:r w:rsidRPr="00884B00">
          <w:rPr>
            <w:rStyle w:val="Hyperlink"/>
            <w:noProof/>
          </w:rPr>
          <w:t>planul de acțiune strategic privind reactoarele modulare mici (SMR)</w:t>
        </w:r>
      </w:hyperlink>
      <w:r w:rsidRPr="00884B00">
        <w:rPr>
          <w:noProof/>
        </w:rPr>
        <w:t>, aprobat de Alianța industrială europeană pentru SMR, care urmărește să faciliteze dezvoltarea și implementarea lor în condiții de siguranță până în 2030.</w:t>
      </w:r>
    </w:p>
    <w:p w14:paraId="4626433D" w14:textId="432D782A" w:rsidR="00A330F6" w:rsidRPr="00884B00" w:rsidRDefault="00A330F6" w:rsidP="00CE4E4E">
      <w:pPr>
        <w:numPr>
          <w:ilvl w:val="0"/>
          <w:numId w:val="50"/>
        </w:numPr>
        <w:rPr>
          <w:b/>
          <w:noProof/>
        </w:rPr>
      </w:pPr>
      <w:r w:rsidRPr="00884B00">
        <w:rPr>
          <w:b/>
          <w:noProof/>
        </w:rPr>
        <w:t xml:space="preserve">Acțiuni indirecte ale Programului Euratom pentru cercetare și formare </w:t>
      </w:r>
    </w:p>
    <w:p w14:paraId="50BDB734" w14:textId="44D2B05E" w:rsidR="003C1F3E" w:rsidRPr="00884B00" w:rsidRDefault="000556D2" w:rsidP="00CE4E4E">
      <w:pPr>
        <w:spacing w:line="257" w:lineRule="auto"/>
        <w:rPr>
          <w:rFonts w:eastAsia="Aptos"/>
          <w:noProof/>
        </w:rPr>
      </w:pPr>
      <w:r w:rsidRPr="00884B00">
        <w:rPr>
          <w:noProof/>
        </w:rPr>
        <w:t xml:space="preserve">Comisia a lansat inițiative pentru a aborda deficitul de competențe specializate în domeniul nuclear, în special în ceea ce privește securitatea nucleară, tehnologiile inovatoare și protecția radiologică. </w:t>
      </w:r>
      <w:hyperlink r:id="rId90" w:history="1">
        <w:r w:rsidRPr="00884B00">
          <w:rPr>
            <w:rStyle w:val="Hyperlink"/>
            <w:noProof/>
          </w:rPr>
          <w:t>Proiectul Skills4Nuclear</w:t>
        </w:r>
      </w:hyperlink>
      <w:r w:rsidRPr="00884B00">
        <w:rPr>
          <w:noProof/>
        </w:rPr>
        <w:t xml:space="preserve"> sprijină dezvoltarea unei forțe de muncă calificate pentru tehnologiile nucleare existente și emergente. În paralel, </w:t>
      </w:r>
      <w:hyperlink r:id="rId91" w:history="1">
        <w:r w:rsidRPr="00884B00">
          <w:rPr>
            <w:rStyle w:val="Hyperlink"/>
            <w:noProof/>
          </w:rPr>
          <w:t>parteneriatul cofinanțat PIANOFORTE</w:t>
        </w:r>
      </w:hyperlink>
      <w:r w:rsidRPr="00884B00">
        <w:rPr>
          <w:noProof/>
        </w:rPr>
        <w:t xml:space="preserve">, cu 108 parteneri din 26 de țări, a lansat cea de a treia cerere de propuneri deschisă transnațională, selectând șase proiecte noi. </w:t>
      </w:r>
      <w:hyperlink r:id="rId92" w:history="1">
        <w:r w:rsidRPr="00884B00">
          <w:rPr>
            <w:rStyle w:val="Hyperlink"/>
            <w:noProof/>
          </w:rPr>
          <w:t>Parteneriatul cofinanțat de EURAD 2</w:t>
        </w:r>
      </w:hyperlink>
      <w:r w:rsidRPr="00884B00">
        <w:rPr>
          <w:noProof/>
        </w:rPr>
        <w:t xml:space="preserve"> a consolidat și mai mult capacitățile europene prin lansarea programului său de mobilitate.</w:t>
      </w:r>
    </w:p>
    <w:p w14:paraId="642A59E8" w14:textId="77777777" w:rsidR="00C52261" w:rsidRPr="00884B00" w:rsidRDefault="00C52261" w:rsidP="00CE4E4E">
      <w:pPr>
        <w:spacing w:line="257" w:lineRule="auto"/>
        <w:rPr>
          <w:rFonts w:eastAsia="Aptos"/>
          <w:noProof/>
        </w:rPr>
      </w:pPr>
    </w:p>
    <w:p w14:paraId="44EE5BD1" w14:textId="660C0314" w:rsidR="00517B47" w:rsidRPr="00884B00" w:rsidRDefault="00521402" w:rsidP="00CE4E4E">
      <w:pPr>
        <w:pStyle w:val="Heading1"/>
        <w:spacing w:before="120"/>
        <w:rPr>
          <w:noProof/>
        </w:rPr>
      </w:pPr>
      <w:r w:rsidRPr="00884B00">
        <w:rPr>
          <w:noProof/>
        </w:rPr>
        <w:t>Perspectiva pentru 2026</w:t>
      </w:r>
    </w:p>
    <w:p w14:paraId="11BA06B1" w14:textId="44624EBE" w:rsidR="00E91C83" w:rsidRPr="00884B00" w:rsidRDefault="00E91C83" w:rsidP="00CE4E4E">
      <w:pPr>
        <w:rPr>
          <w:noProof/>
          <w:color w:val="000000" w:themeColor="text1"/>
        </w:rPr>
      </w:pPr>
      <w:r w:rsidRPr="00884B00">
        <w:rPr>
          <w:noProof/>
          <w:color w:val="000000" w:themeColor="text1"/>
        </w:rPr>
        <w:t xml:space="preserve">În 2026, Comisia urmărește să consolideze ecosistemul european de C&amp;I prin intermediul </w:t>
      </w:r>
      <w:r w:rsidRPr="00884B00">
        <w:rPr>
          <w:b/>
          <w:noProof/>
          <w:color w:val="000000" w:themeColor="text1"/>
        </w:rPr>
        <w:t>Actului european pentru inovare</w:t>
      </w:r>
      <w:r w:rsidRPr="00884B00">
        <w:rPr>
          <w:noProof/>
          <w:color w:val="000000" w:themeColor="text1"/>
        </w:rPr>
        <w:t xml:space="preserve"> și al </w:t>
      </w:r>
      <w:r w:rsidRPr="00884B00">
        <w:rPr>
          <w:b/>
          <w:noProof/>
          <w:color w:val="000000" w:themeColor="text1"/>
        </w:rPr>
        <w:t>Actului privind Spațiul european de cercetare</w:t>
      </w:r>
      <w:r w:rsidRPr="00884B00">
        <w:rPr>
          <w:noProof/>
          <w:color w:val="000000" w:themeColor="text1"/>
        </w:rPr>
        <w:t>. Aceste acte vor accelera adoptarea inovațiilor, vor alinia prioritățile UE și cele naționale și vor contribui la atingerea obiectivului de investiții în C&amp;I de 3 % din PIB în întreaga UE. Aceste inițiative vor contribui la introducerea pe piață a ideilor inovatoare în toate sectoarele, reducând fragmentarea, și vor spori libera circulație a cercetătorilor, a cunoștințelor și a tehnologiei.</w:t>
      </w:r>
    </w:p>
    <w:p w14:paraId="074546E8" w14:textId="5B5AAA0D" w:rsidR="00094173" w:rsidRPr="00884B00" w:rsidRDefault="00E91C83" w:rsidP="00CE4E4E">
      <w:pPr>
        <w:rPr>
          <w:noProof/>
          <w:color w:val="000000" w:themeColor="text1"/>
        </w:rPr>
      </w:pPr>
      <w:r w:rsidRPr="00884B00">
        <w:rPr>
          <w:noProof/>
          <w:color w:val="000000" w:themeColor="text1"/>
        </w:rPr>
        <w:t xml:space="preserve">În 2026 vor fi lansate </w:t>
      </w:r>
      <w:hyperlink r:id="rId93" w:history="1">
        <w:r w:rsidRPr="00884B00">
          <w:rPr>
            <w:rStyle w:val="Hyperlink"/>
            <w:b/>
            <w:noProof/>
          </w:rPr>
          <w:t>Fondul „Scale-up Europe”</w:t>
        </w:r>
      </w:hyperlink>
      <w:r w:rsidRPr="00884B00">
        <w:rPr>
          <w:noProof/>
          <w:color w:val="000000" w:themeColor="text1"/>
        </w:rPr>
        <w:t xml:space="preserve">, în valoare de mai multe miliarde de euro, pentru a sprijini cele mai promițătoare întreprinderi tehnologice strategice din Europa, și </w:t>
      </w:r>
      <w:hyperlink r:id="rId94" w:history="1">
        <w:r w:rsidRPr="00884B00">
          <w:rPr>
            <w:rStyle w:val="Hyperlink"/>
            <w:b/>
            <w:noProof/>
          </w:rPr>
          <w:t>Actul legislativ privind materialele avansate</w:t>
        </w:r>
      </w:hyperlink>
      <w:r w:rsidRPr="00884B00">
        <w:rPr>
          <w:noProof/>
          <w:color w:val="000000" w:themeColor="text1"/>
        </w:rPr>
        <w:t xml:space="preserve">, care urmărește să accelereze inovarea și extinderea materialelor avansate. De asemenea, vor fi lansate noi inițiative de C&amp;I în domenii precum </w:t>
      </w:r>
      <w:r w:rsidRPr="00884B00">
        <w:rPr>
          <w:b/>
          <w:noProof/>
          <w:color w:val="000000" w:themeColor="text1"/>
        </w:rPr>
        <w:t>IA, bateriile, accesul la date, sănătatea, clima, agricultura, dezvoltarea rurală, biodiversitatea, oceanele</w:t>
      </w:r>
      <w:r w:rsidRPr="00884B00">
        <w:rPr>
          <w:noProof/>
          <w:color w:val="000000" w:themeColor="text1"/>
        </w:rPr>
        <w:t xml:space="preserve"> și </w:t>
      </w:r>
      <w:r w:rsidRPr="00884B00">
        <w:rPr>
          <w:b/>
          <w:noProof/>
          <w:color w:val="000000" w:themeColor="text1"/>
        </w:rPr>
        <w:t>reziliența în domeniul apei</w:t>
      </w:r>
      <w:r w:rsidRPr="00884B00">
        <w:rPr>
          <w:noProof/>
          <w:color w:val="000000" w:themeColor="text1"/>
        </w:rPr>
        <w:t>, printre altele.</w:t>
      </w:r>
    </w:p>
    <w:sectPr w:rsidR="00094173" w:rsidRPr="00884B00" w:rsidSect="00A75E58">
      <w:headerReference w:type="even" r:id="rId95"/>
      <w:headerReference w:type="default" r:id="rId96"/>
      <w:footerReference w:type="even" r:id="rId97"/>
      <w:footerReference w:type="default" r:id="rId98"/>
      <w:headerReference w:type="first" r:id="rId99"/>
      <w:footerReference w:type="first" r:id="rId100"/>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59F39" w14:textId="77777777" w:rsidR="00CA7B55" w:rsidRDefault="00CA7B55" w:rsidP="00517B47">
      <w:pPr>
        <w:spacing w:before="0" w:after="0"/>
      </w:pPr>
      <w:r>
        <w:separator/>
      </w:r>
    </w:p>
  </w:endnote>
  <w:endnote w:type="continuationSeparator" w:id="0">
    <w:p w14:paraId="407A1F26" w14:textId="77777777" w:rsidR="00CA7B55" w:rsidRDefault="00CA7B55" w:rsidP="00517B47">
      <w:pPr>
        <w:spacing w:before="0" w:after="0"/>
      </w:pPr>
      <w:r>
        <w:continuationSeparator/>
      </w:r>
    </w:p>
  </w:endnote>
  <w:endnote w:type="continuationNotice" w:id="1">
    <w:p w14:paraId="198615EC" w14:textId="77777777" w:rsidR="00CA7B55" w:rsidRDefault="00CA7B5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Times New Roman_MSFontService">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5D92" w14:textId="57FAC451" w:rsidR="00C169F0" w:rsidRPr="00C169F0" w:rsidRDefault="00C169F0" w:rsidP="00C169F0">
    <w:pPr>
      <w:pStyle w:val="FooterCoverPage"/>
      <w:rPr>
        <w:rFonts w:ascii="Arial" w:hAnsi="Arial" w:cs="Arial"/>
        <w:b/>
        <w:sz w:val="48"/>
      </w:rPr>
    </w:pPr>
    <w:r w:rsidRPr="00C169F0">
      <w:rPr>
        <w:rFonts w:ascii="Arial" w:hAnsi="Arial" w:cs="Arial"/>
        <w:b/>
        <w:sz w:val="48"/>
      </w:rPr>
      <w:t>RO</w:t>
    </w:r>
    <w:r w:rsidRPr="00C169F0">
      <w:rPr>
        <w:rFonts w:ascii="Arial" w:hAnsi="Arial" w:cs="Arial"/>
        <w:b/>
        <w:sz w:val="48"/>
      </w:rPr>
      <w:tab/>
    </w:r>
    <w:r w:rsidRPr="00C169F0">
      <w:rPr>
        <w:rFonts w:ascii="Arial" w:hAnsi="Arial" w:cs="Arial"/>
        <w:b/>
        <w:sz w:val="48"/>
      </w:rPr>
      <w:tab/>
    </w:r>
    <w:r w:rsidRPr="00C169F0">
      <w:tab/>
    </w:r>
    <w:r w:rsidRPr="00C169F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B95C0" w14:textId="3B9EFCF4" w:rsidR="00C169F0" w:rsidRPr="00C169F0" w:rsidRDefault="00C169F0" w:rsidP="00C169F0">
    <w:pPr>
      <w:pStyle w:val="FooterCoverPage"/>
      <w:rPr>
        <w:rFonts w:ascii="Arial" w:hAnsi="Arial" w:cs="Arial"/>
        <w:b/>
        <w:sz w:val="48"/>
      </w:rPr>
    </w:pPr>
    <w:r w:rsidRPr="00C169F0">
      <w:rPr>
        <w:rFonts w:ascii="Arial" w:hAnsi="Arial" w:cs="Arial"/>
        <w:b/>
        <w:sz w:val="48"/>
      </w:rPr>
      <w:t>RO</w:t>
    </w:r>
    <w:r w:rsidRPr="00C169F0">
      <w:rPr>
        <w:rFonts w:ascii="Arial" w:hAnsi="Arial" w:cs="Arial"/>
        <w:b/>
        <w:sz w:val="48"/>
      </w:rPr>
      <w:tab/>
    </w:r>
    <w:r w:rsidRPr="00C169F0">
      <w:rPr>
        <w:rFonts w:ascii="Arial" w:hAnsi="Arial" w:cs="Arial"/>
        <w:b/>
        <w:sz w:val="48"/>
      </w:rPr>
      <w:tab/>
    </w:r>
    <w:r w:rsidRPr="00C169F0">
      <w:tab/>
    </w:r>
    <w:r w:rsidRPr="00C169F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84CDB" w14:textId="77777777" w:rsidR="00C169F0" w:rsidRPr="00C169F0" w:rsidRDefault="00C169F0" w:rsidP="00C169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EF193" w14:textId="77777777" w:rsidR="00B808DD" w:rsidRDefault="00B808DD">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2D186" w14:textId="31E7E7C3" w:rsidR="00724DAD" w:rsidRDefault="00724DAD">
    <w:pPr>
      <w:pStyle w:val="FooterLine"/>
      <w:jc w:val="center"/>
    </w:pPr>
    <w:r>
      <w:fldChar w:fldCharType="begin"/>
    </w:r>
    <w:r>
      <w:instrText>PAGE   \* MERGEFORMAT</w:instrText>
    </w:r>
    <w:r>
      <w:fldChar w:fldCharType="separate"/>
    </w:r>
    <w:r w:rsidR="00C169F0">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2266" w14:textId="77777777" w:rsidR="002E1CD5" w:rsidRDefault="002E1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F082D" w14:textId="77777777" w:rsidR="00CA7B55" w:rsidRDefault="00CA7B55" w:rsidP="00517B47">
      <w:pPr>
        <w:spacing w:before="0" w:after="0"/>
      </w:pPr>
      <w:r>
        <w:separator/>
      </w:r>
    </w:p>
  </w:footnote>
  <w:footnote w:type="continuationSeparator" w:id="0">
    <w:p w14:paraId="7FE7728D" w14:textId="77777777" w:rsidR="00CA7B55" w:rsidRDefault="00CA7B55" w:rsidP="00517B47">
      <w:pPr>
        <w:spacing w:before="0" w:after="0"/>
      </w:pPr>
      <w:r>
        <w:continuationSeparator/>
      </w:r>
    </w:p>
  </w:footnote>
  <w:footnote w:type="continuationNotice" w:id="1">
    <w:p w14:paraId="62AA5691" w14:textId="77777777" w:rsidR="00CA7B55" w:rsidRDefault="00CA7B55">
      <w:pPr>
        <w:spacing w:before="0" w:after="0"/>
      </w:pPr>
    </w:p>
  </w:footnote>
  <w:footnote w:id="2">
    <w:p w14:paraId="6C33D74B" w14:textId="77777777" w:rsidR="00F96509" w:rsidRPr="00F10561" w:rsidRDefault="00F96509" w:rsidP="00F96509">
      <w:pPr>
        <w:pStyle w:val="FootnoteText"/>
      </w:pPr>
      <w:r>
        <w:rPr>
          <w:rStyle w:val="FootnoteReference"/>
        </w:rPr>
        <w:footnoteRef/>
      </w:r>
      <w:r>
        <w:t xml:space="preserve"> Numărul de propuneri eligibile depuse numai în cadrul cererilor de propuneri care sunt închise și evaluate integral.</w:t>
      </w:r>
    </w:p>
  </w:footnote>
  <w:footnote w:id="3">
    <w:p w14:paraId="1BD73FB9" w14:textId="57356D26" w:rsidR="00F96509" w:rsidRPr="005F37BF" w:rsidRDefault="00F96509" w:rsidP="00F96509">
      <w:pPr>
        <w:pStyle w:val="FootnoteText"/>
      </w:pPr>
      <w:r>
        <w:rPr>
          <w:rStyle w:val="FootnoteReference"/>
        </w:rPr>
        <w:footnoteRef/>
      </w:r>
      <w:r>
        <w:t xml:space="preserve"> Instrumentul pentru IMM-uri nu este inclus.</w:t>
      </w:r>
    </w:p>
  </w:footnote>
  <w:footnote w:id="4">
    <w:p w14:paraId="0F34EE58" w14:textId="7062C401" w:rsidR="00353AF7" w:rsidRPr="005E7B29" w:rsidRDefault="00353AF7">
      <w:pPr>
        <w:pStyle w:val="FootnoteText"/>
      </w:pPr>
      <w:r>
        <w:rPr>
          <w:rStyle w:val="FootnoteReference"/>
        </w:rPr>
        <w:footnoteRef/>
      </w:r>
      <w:r>
        <w:t xml:space="preserve"> Pentru mai multe informații despre întreprinderile sprijinite de Fondul CEI, a se vedea </w:t>
      </w:r>
      <w:hyperlink r:id="rId1" w:history="1">
        <w:r>
          <w:rPr>
            <w:rStyle w:val="Hyperlink"/>
          </w:rPr>
          <w:t>R</w:t>
        </w:r>
        <w:bookmarkStart w:id="6" w:name="_Hlt225512406"/>
        <w:bookmarkStart w:id="7" w:name="_Hlt225512407"/>
        <w:r>
          <w:rPr>
            <w:rStyle w:val="Hyperlink"/>
          </w:rPr>
          <w:t>a</w:t>
        </w:r>
        <w:bookmarkEnd w:id="6"/>
        <w:bookmarkEnd w:id="7"/>
        <w:r>
          <w:rPr>
            <w:rStyle w:val="Hyperlink"/>
          </w:rPr>
          <w:t>portul privind impactul CEI 2025</w:t>
        </w:r>
      </w:hyperlink>
      <w:r>
        <w:t>.</w:t>
      </w:r>
    </w:p>
  </w:footnote>
  <w:footnote w:id="5">
    <w:p w14:paraId="2BB47034" w14:textId="0A087E54" w:rsidR="00F96509" w:rsidRPr="00D51F74" w:rsidRDefault="00F96509" w:rsidP="00BC5951">
      <w:pPr>
        <w:pStyle w:val="FootnoteText"/>
        <w:ind w:left="0" w:firstLine="0"/>
      </w:pPr>
      <w:r>
        <w:rPr>
          <w:rStyle w:val="FootnoteReference"/>
        </w:rPr>
        <w:footnoteRef/>
      </w:r>
      <w:r>
        <w:t xml:space="preserve"> Cifra se referă numai la granturile care inițiază comunitățile de cunoaștere și inovare ale EIT, care sunt apoi însărcinate cu punerea în aplicare a activităților.</w:t>
      </w:r>
    </w:p>
  </w:footnote>
  <w:footnote w:id="6">
    <w:p w14:paraId="4441461E" w14:textId="717FB0A0" w:rsidR="00F96509" w:rsidRPr="000126EA" w:rsidRDefault="00F96509" w:rsidP="00F96509">
      <w:pPr>
        <w:pStyle w:val="FootnoteText"/>
      </w:pPr>
      <w:r>
        <w:rPr>
          <w:rStyle w:val="FootnoteReference"/>
        </w:rPr>
        <w:footnoteRef/>
      </w:r>
      <w:r>
        <w:t xml:space="preserve"> Din participanții unici.</w:t>
      </w:r>
    </w:p>
  </w:footnote>
  <w:footnote w:id="7">
    <w:p w14:paraId="172BD4D4" w14:textId="6C077FA1" w:rsidR="00F96509" w:rsidRPr="00CC4511" w:rsidRDefault="00F96509" w:rsidP="00F96509">
      <w:pPr>
        <w:pStyle w:val="FootnoteText"/>
        <w:tabs>
          <w:tab w:val="left" w:pos="2509"/>
        </w:tabs>
        <w:ind w:left="0" w:firstLine="0"/>
      </w:pPr>
      <w:r>
        <w:rPr>
          <w:rStyle w:val="FootnoteReference"/>
        </w:rPr>
        <w:footnoteRef/>
      </w:r>
      <w:r>
        <w:t xml:space="preserve"> Numai state membre (Bulgaria, Cehia, Estonia, Grecia, Croația, Cipru, Letonia, Lituania, Ungaria, Malta, Polonia, Portugalia, România, Slovenia și Slovacia).</w:t>
      </w:r>
    </w:p>
  </w:footnote>
  <w:footnote w:id="8">
    <w:p w14:paraId="131DAB6A" w14:textId="77777777" w:rsidR="00F96509" w:rsidRPr="00D93E70" w:rsidRDefault="00F96509" w:rsidP="00F96509">
      <w:pPr>
        <w:pStyle w:val="FootnoteText"/>
      </w:pPr>
      <w:r>
        <w:rPr>
          <w:rStyle w:val="FootnoteReference"/>
        </w:rPr>
        <w:footnoteRef/>
      </w:r>
      <w:r>
        <w:t xml:space="preserve"> JRC și EIT nu sunt incluse în calcul. </w:t>
      </w:r>
    </w:p>
  </w:footnote>
  <w:footnote w:id="9">
    <w:p w14:paraId="7445C35E" w14:textId="76B82FE8" w:rsidR="00F96509" w:rsidRPr="000126EA" w:rsidRDefault="00F96509" w:rsidP="00F96509">
      <w:pPr>
        <w:pStyle w:val="FootnoteText"/>
      </w:pPr>
      <w:r>
        <w:rPr>
          <w:rStyle w:val="FootnoteReference"/>
        </w:rPr>
        <w:footnoteRef/>
      </w:r>
      <w:r>
        <w:t xml:space="preserve"> Parteneriate instituționalizate în temeiul articolului 187 din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BF83" w14:textId="77777777" w:rsidR="00C169F0" w:rsidRPr="00C169F0" w:rsidRDefault="00C169F0" w:rsidP="00C169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4A99" w14:textId="77777777" w:rsidR="00C169F0" w:rsidRPr="00C169F0" w:rsidRDefault="00C169F0" w:rsidP="00C169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71E0B" w14:textId="77777777" w:rsidR="00C169F0" w:rsidRPr="00C169F0" w:rsidRDefault="00C169F0" w:rsidP="00C169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7E43" w14:textId="77777777" w:rsidR="00152F50" w:rsidRDefault="00152F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CD9E" w14:textId="77777777" w:rsidR="001C0138" w:rsidRDefault="001C01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8670" w14:textId="77777777" w:rsidR="000C0139" w:rsidRDefault="000C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06263A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590BC0"/>
    <w:multiLevelType w:val="hybridMultilevel"/>
    <w:tmpl w:val="ECD40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631E0"/>
    <w:multiLevelType w:val="hybridMultilevel"/>
    <w:tmpl w:val="86225F24"/>
    <w:lvl w:ilvl="0" w:tplc="4790DB26">
      <w:start w:val="1"/>
      <w:numFmt w:val="bullet"/>
      <w:lvlText w:val=""/>
      <w:lvlJc w:val="left"/>
      <w:pPr>
        <w:ind w:left="720" w:hanging="360"/>
      </w:pPr>
      <w:rPr>
        <w:rFonts w:ascii="Symbol" w:hAnsi="Symbol" w:hint="default"/>
      </w:rPr>
    </w:lvl>
    <w:lvl w:ilvl="1" w:tplc="C922B58E">
      <w:start w:val="1"/>
      <w:numFmt w:val="bullet"/>
      <w:lvlText w:val="o"/>
      <w:lvlJc w:val="left"/>
      <w:pPr>
        <w:ind w:left="1440" w:hanging="360"/>
      </w:pPr>
      <w:rPr>
        <w:rFonts w:ascii="Courier New" w:hAnsi="Courier New" w:hint="default"/>
      </w:rPr>
    </w:lvl>
    <w:lvl w:ilvl="2" w:tplc="BF9657DE">
      <w:start w:val="1"/>
      <w:numFmt w:val="bullet"/>
      <w:lvlText w:val=""/>
      <w:lvlJc w:val="left"/>
      <w:pPr>
        <w:ind w:left="2160" w:hanging="360"/>
      </w:pPr>
      <w:rPr>
        <w:rFonts w:ascii="Wingdings" w:hAnsi="Wingdings" w:hint="default"/>
      </w:rPr>
    </w:lvl>
    <w:lvl w:ilvl="3" w:tplc="62DE46FE">
      <w:start w:val="1"/>
      <w:numFmt w:val="bullet"/>
      <w:lvlText w:val=""/>
      <w:lvlJc w:val="left"/>
      <w:pPr>
        <w:ind w:left="2880" w:hanging="360"/>
      </w:pPr>
      <w:rPr>
        <w:rFonts w:ascii="Symbol" w:hAnsi="Symbol" w:hint="default"/>
      </w:rPr>
    </w:lvl>
    <w:lvl w:ilvl="4" w:tplc="058661B4">
      <w:start w:val="1"/>
      <w:numFmt w:val="bullet"/>
      <w:lvlText w:val="o"/>
      <w:lvlJc w:val="left"/>
      <w:pPr>
        <w:ind w:left="3600" w:hanging="360"/>
      </w:pPr>
      <w:rPr>
        <w:rFonts w:ascii="Courier New" w:hAnsi="Courier New" w:hint="default"/>
      </w:rPr>
    </w:lvl>
    <w:lvl w:ilvl="5" w:tplc="A6245530">
      <w:start w:val="1"/>
      <w:numFmt w:val="bullet"/>
      <w:lvlText w:val=""/>
      <w:lvlJc w:val="left"/>
      <w:pPr>
        <w:ind w:left="4320" w:hanging="360"/>
      </w:pPr>
      <w:rPr>
        <w:rFonts w:ascii="Wingdings" w:hAnsi="Wingdings" w:hint="default"/>
      </w:rPr>
    </w:lvl>
    <w:lvl w:ilvl="6" w:tplc="7116D73C">
      <w:start w:val="1"/>
      <w:numFmt w:val="bullet"/>
      <w:lvlText w:val=""/>
      <w:lvlJc w:val="left"/>
      <w:pPr>
        <w:ind w:left="5040" w:hanging="360"/>
      </w:pPr>
      <w:rPr>
        <w:rFonts w:ascii="Symbol" w:hAnsi="Symbol" w:hint="default"/>
      </w:rPr>
    </w:lvl>
    <w:lvl w:ilvl="7" w:tplc="B47C979E">
      <w:start w:val="1"/>
      <w:numFmt w:val="bullet"/>
      <w:lvlText w:val="o"/>
      <w:lvlJc w:val="left"/>
      <w:pPr>
        <w:ind w:left="5760" w:hanging="360"/>
      </w:pPr>
      <w:rPr>
        <w:rFonts w:ascii="Courier New" w:hAnsi="Courier New" w:hint="default"/>
      </w:rPr>
    </w:lvl>
    <w:lvl w:ilvl="8" w:tplc="166A2042">
      <w:start w:val="1"/>
      <w:numFmt w:val="bullet"/>
      <w:lvlText w:val=""/>
      <w:lvlJc w:val="left"/>
      <w:pPr>
        <w:ind w:left="6480" w:hanging="360"/>
      </w:pPr>
      <w:rPr>
        <w:rFonts w:ascii="Wingdings" w:hAnsi="Wingdings" w:hint="default"/>
      </w:rPr>
    </w:lvl>
  </w:abstractNum>
  <w:abstractNum w:abstractNumId="3" w15:restartNumberingAfterBreak="0">
    <w:nsid w:val="094A4C44"/>
    <w:multiLevelType w:val="hybridMultilevel"/>
    <w:tmpl w:val="FFFFFFFF"/>
    <w:lvl w:ilvl="0" w:tplc="B2A6F664">
      <w:start w:val="1"/>
      <w:numFmt w:val="bullet"/>
      <w:lvlText w:val="§"/>
      <w:lvlJc w:val="left"/>
      <w:pPr>
        <w:ind w:left="720" w:hanging="360"/>
      </w:pPr>
      <w:rPr>
        <w:rFonts w:ascii="Wingdings" w:hAnsi="Wingdings" w:hint="default"/>
      </w:rPr>
    </w:lvl>
    <w:lvl w:ilvl="1" w:tplc="2200A040">
      <w:start w:val="1"/>
      <w:numFmt w:val="bullet"/>
      <w:lvlText w:val="o"/>
      <w:lvlJc w:val="left"/>
      <w:pPr>
        <w:ind w:left="1440" w:hanging="360"/>
      </w:pPr>
      <w:rPr>
        <w:rFonts w:ascii="Courier New" w:hAnsi="Courier New" w:hint="default"/>
      </w:rPr>
    </w:lvl>
    <w:lvl w:ilvl="2" w:tplc="32BCAC98">
      <w:start w:val="1"/>
      <w:numFmt w:val="bullet"/>
      <w:lvlText w:val=""/>
      <w:lvlJc w:val="left"/>
      <w:pPr>
        <w:ind w:left="2160" w:hanging="360"/>
      </w:pPr>
      <w:rPr>
        <w:rFonts w:ascii="Wingdings" w:hAnsi="Wingdings" w:hint="default"/>
      </w:rPr>
    </w:lvl>
    <w:lvl w:ilvl="3" w:tplc="C2220D5C">
      <w:start w:val="1"/>
      <w:numFmt w:val="bullet"/>
      <w:lvlText w:val=""/>
      <w:lvlJc w:val="left"/>
      <w:pPr>
        <w:ind w:left="2880" w:hanging="360"/>
      </w:pPr>
      <w:rPr>
        <w:rFonts w:ascii="Symbol" w:hAnsi="Symbol" w:hint="default"/>
      </w:rPr>
    </w:lvl>
    <w:lvl w:ilvl="4" w:tplc="C4E65900">
      <w:start w:val="1"/>
      <w:numFmt w:val="bullet"/>
      <w:lvlText w:val="o"/>
      <w:lvlJc w:val="left"/>
      <w:pPr>
        <w:ind w:left="3600" w:hanging="360"/>
      </w:pPr>
      <w:rPr>
        <w:rFonts w:ascii="Courier New" w:hAnsi="Courier New" w:hint="default"/>
      </w:rPr>
    </w:lvl>
    <w:lvl w:ilvl="5" w:tplc="DDAE14C8">
      <w:start w:val="1"/>
      <w:numFmt w:val="bullet"/>
      <w:lvlText w:val=""/>
      <w:lvlJc w:val="left"/>
      <w:pPr>
        <w:ind w:left="4320" w:hanging="360"/>
      </w:pPr>
      <w:rPr>
        <w:rFonts w:ascii="Wingdings" w:hAnsi="Wingdings" w:hint="default"/>
      </w:rPr>
    </w:lvl>
    <w:lvl w:ilvl="6" w:tplc="AEC66F94">
      <w:start w:val="1"/>
      <w:numFmt w:val="bullet"/>
      <w:lvlText w:val=""/>
      <w:lvlJc w:val="left"/>
      <w:pPr>
        <w:ind w:left="5040" w:hanging="360"/>
      </w:pPr>
      <w:rPr>
        <w:rFonts w:ascii="Symbol" w:hAnsi="Symbol" w:hint="default"/>
      </w:rPr>
    </w:lvl>
    <w:lvl w:ilvl="7" w:tplc="0738462E">
      <w:start w:val="1"/>
      <w:numFmt w:val="bullet"/>
      <w:lvlText w:val="o"/>
      <w:lvlJc w:val="left"/>
      <w:pPr>
        <w:ind w:left="5760" w:hanging="360"/>
      </w:pPr>
      <w:rPr>
        <w:rFonts w:ascii="Courier New" w:hAnsi="Courier New" w:hint="default"/>
      </w:rPr>
    </w:lvl>
    <w:lvl w:ilvl="8" w:tplc="E9D2BDA6">
      <w:start w:val="1"/>
      <w:numFmt w:val="bullet"/>
      <w:lvlText w:val=""/>
      <w:lvlJc w:val="left"/>
      <w:pPr>
        <w:ind w:left="6480" w:hanging="360"/>
      </w:pPr>
      <w:rPr>
        <w:rFonts w:ascii="Wingdings" w:hAnsi="Wingdings" w:hint="default"/>
      </w:rPr>
    </w:lvl>
  </w:abstractNum>
  <w:abstractNum w:abstractNumId="4" w15:restartNumberingAfterBreak="0">
    <w:nsid w:val="0A2900F7"/>
    <w:multiLevelType w:val="multilevel"/>
    <w:tmpl w:val="7444DB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C537B31"/>
    <w:multiLevelType w:val="hybridMultilevel"/>
    <w:tmpl w:val="AD2AD2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216538"/>
    <w:multiLevelType w:val="multilevel"/>
    <w:tmpl w:val="26BC6770"/>
    <w:lvl w:ilvl="0">
      <w:start w:val="1"/>
      <w:numFmt w:val="decimal"/>
      <w:pStyle w:val="HeaderSensitivityRight"/>
      <w:lvlText w:val="%1."/>
      <w:lvlJc w:val="left"/>
      <w:pPr>
        <w:ind w:left="502" w:hanging="360"/>
      </w:pPr>
      <w:rPr>
        <w:rFonts w:hint="default"/>
        <w:b/>
        <w:i w:val="0"/>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EFB7115"/>
    <w:multiLevelType w:val="multilevel"/>
    <w:tmpl w:val="0C2C547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7201"/>
    <w:multiLevelType w:val="multilevel"/>
    <w:tmpl w:val="00C4D5A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8345"/>
    <w:multiLevelType w:val="multilevel"/>
    <w:tmpl w:val="6540B2E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3384B12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43D0A16"/>
    <w:multiLevelType w:val="multilevel"/>
    <w:tmpl w:val="FE12A7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72F0AC5"/>
    <w:multiLevelType w:val="multilevel"/>
    <w:tmpl w:val="BFF4A5B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94E7930"/>
    <w:multiLevelType w:val="hybridMultilevel"/>
    <w:tmpl w:val="D2964DF2"/>
    <w:lvl w:ilvl="0" w:tplc="CFB86FA8">
      <w:start w:val="1"/>
      <w:numFmt w:val="lowerLetter"/>
      <w:lvlText w:val="%1)"/>
      <w:lvlJc w:val="left"/>
      <w:pPr>
        <w:ind w:left="1210" w:hanging="360"/>
      </w:pPr>
      <w:rPr>
        <w:rFonts w:hint="default"/>
        <w:lang w:val="en-GB"/>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1A1A6EFE"/>
    <w:multiLevelType w:val="hybridMultilevel"/>
    <w:tmpl w:val="4FA61270"/>
    <w:lvl w:ilvl="0" w:tplc="CB6C8E8E">
      <w:start w:val="1"/>
      <w:numFmt w:val="bullet"/>
      <w:lvlText w:val="·"/>
      <w:lvlJc w:val="left"/>
      <w:pPr>
        <w:ind w:left="-130" w:hanging="360"/>
      </w:pPr>
      <w:rPr>
        <w:rFonts w:ascii="Symbol" w:hAnsi="Symbol" w:hint="default"/>
      </w:rPr>
    </w:lvl>
    <w:lvl w:ilvl="1" w:tplc="7076BCBE">
      <w:start w:val="1"/>
      <w:numFmt w:val="bullet"/>
      <w:lvlText w:val="o"/>
      <w:lvlJc w:val="left"/>
      <w:pPr>
        <w:ind w:left="590" w:hanging="360"/>
      </w:pPr>
      <w:rPr>
        <w:rFonts w:ascii="Courier New" w:hAnsi="Courier New" w:hint="default"/>
      </w:rPr>
    </w:lvl>
    <w:lvl w:ilvl="2" w:tplc="5CD6ED30">
      <w:start w:val="1"/>
      <w:numFmt w:val="bullet"/>
      <w:lvlText w:val=""/>
      <w:lvlJc w:val="left"/>
      <w:pPr>
        <w:ind w:left="1310" w:hanging="360"/>
      </w:pPr>
      <w:rPr>
        <w:rFonts w:ascii="Wingdings" w:hAnsi="Wingdings" w:hint="default"/>
      </w:rPr>
    </w:lvl>
    <w:lvl w:ilvl="3" w:tplc="0A94454E">
      <w:start w:val="1"/>
      <w:numFmt w:val="bullet"/>
      <w:lvlText w:val=""/>
      <w:lvlJc w:val="left"/>
      <w:pPr>
        <w:ind w:left="2030" w:hanging="360"/>
      </w:pPr>
      <w:rPr>
        <w:rFonts w:ascii="Symbol" w:hAnsi="Symbol" w:hint="default"/>
      </w:rPr>
    </w:lvl>
    <w:lvl w:ilvl="4" w:tplc="36B65C00">
      <w:start w:val="1"/>
      <w:numFmt w:val="bullet"/>
      <w:lvlText w:val="o"/>
      <w:lvlJc w:val="left"/>
      <w:pPr>
        <w:ind w:left="2750" w:hanging="360"/>
      </w:pPr>
      <w:rPr>
        <w:rFonts w:ascii="Courier New" w:hAnsi="Courier New" w:hint="default"/>
      </w:rPr>
    </w:lvl>
    <w:lvl w:ilvl="5" w:tplc="D5A6C9B0">
      <w:start w:val="1"/>
      <w:numFmt w:val="bullet"/>
      <w:lvlText w:val=""/>
      <w:lvlJc w:val="left"/>
      <w:pPr>
        <w:ind w:left="3470" w:hanging="360"/>
      </w:pPr>
      <w:rPr>
        <w:rFonts w:ascii="Wingdings" w:hAnsi="Wingdings" w:hint="default"/>
      </w:rPr>
    </w:lvl>
    <w:lvl w:ilvl="6" w:tplc="22CE9EFC">
      <w:start w:val="1"/>
      <w:numFmt w:val="bullet"/>
      <w:lvlText w:val=""/>
      <w:lvlJc w:val="left"/>
      <w:pPr>
        <w:ind w:left="4190" w:hanging="360"/>
      </w:pPr>
      <w:rPr>
        <w:rFonts w:ascii="Symbol" w:hAnsi="Symbol" w:hint="default"/>
      </w:rPr>
    </w:lvl>
    <w:lvl w:ilvl="7" w:tplc="A7669D6C">
      <w:start w:val="1"/>
      <w:numFmt w:val="bullet"/>
      <w:lvlText w:val="o"/>
      <w:lvlJc w:val="left"/>
      <w:pPr>
        <w:ind w:left="4910" w:hanging="360"/>
      </w:pPr>
      <w:rPr>
        <w:rFonts w:ascii="Courier New" w:hAnsi="Courier New" w:hint="default"/>
      </w:rPr>
    </w:lvl>
    <w:lvl w:ilvl="8" w:tplc="B96C1DD0">
      <w:start w:val="1"/>
      <w:numFmt w:val="bullet"/>
      <w:lvlText w:val=""/>
      <w:lvlJc w:val="left"/>
      <w:pPr>
        <w:ind w:left="5630" w:hanging="360"/>
      </w:pPr>
      <w:rPr>
        <w:rFonts w:ascii="Wingdings" w:hAnsi="Wingdings" w:hint="default"/>
      </w:rPr>
    </w:lvl>
  </w:abstractNum>
  <w:abstractNum w:abstractNumId="15" w15:restartNumberingAfterBreak="0">
    <w:nsid w:val="1AD35267"/>
    <w:multiLevelType w:val="hybridMultilevel"/>
    <w:tmpl w:val="C084F9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7B624F"/>
    <w:multiLevelType w:val="multilevel"/>
    <w:tmpl w:val="41A01D0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CB45724"/>
    <w:multiLevelType w:val="hybridMultilevel"/>
    <w:tmpl w:val="B128DECA"/>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18" w15:restartNumberingAfterBreak="0">
    <w:nsid w:val="24AF0002"/>
    <w:multiLevelType w:val="hybridMultilevel"/>
    <w:tmpl w:val="F07C56B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2C8DFDF8"/>
    <w:multiLevelType w:val="multilevel"/>
    <w:tmpl w:val="23806158"/>
    <w:name w:val="ListBullet2Numbering"/>
    <w:lvl w:ilvl="0">
      <w:start w:val="1"/>
      <w:numFmt w:val="bullet"/>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336E49A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E3D4FD1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ED3529B"/>
    <w:multiLevelType w:val="hybridMultilevel"/>
    <w:tmpl w:val="FFFFFFFF"/>
    <w:lvl w:ilvl="0" w:tplc="DE68BDF8">
      <w:start w:val="1"/>
      <w:numFmt w:val="bullet"/>
      <w:lvlText w:val="·"/>
      <w:lvlJc w:val="left"/>
      <w:pPr>
        <w:ind w:left="720" w:hanging="360"/>
      </w:pPr>
      <w:rPr>
        <w:rFonts w:ascii="Symbol" w:hAnsi="Symbol" w:hint="default"/>
      </w:rPr>
    </w:lvl>
    <w:lvl w:ilvl="1" w:tplc="6792DA20">
      <w:start w:val="1"/>
      <w:numFmt w:val="bullet"/>
      <w:lvlText w:val="o"/>
      <w:lvlJc w:val="left"/>
      <w:pPr>
        <w:ind w:left="1440" w:hanging="360"/>
      </w:pPr>
      <w:rPr>
        <w:rFonts w:ascii="Courier New" w:hAnsi="Courier New" w:hint="default"/>
      </w:rPr>
    </w:lvl>
    <w:lvl w:ilvl="2" w:tplc="AF3E775A">
      <w:start w:val="1"/>
      <w:numFmt w:val="bullet"/>
      <w:lvlText w:val=""/>
      <w:lvlJc w:val="left"/>
      <w:pPr>
        <w:ind w:left="2160" w:hanging="360"/>
      </w:pPr>
      <w:rPr>
        <w:rFonts w:ascii="Wingdings" w:hAnsi="Wingdings" w:hint="default"/>
      </w:rPr>
    </w:lvl>
    <w:lvl w:ilvl="3" w:tplc="44C6C238">
      <w:start w:val="1"/>
      <w:numFmt w:val="bullet"/>
      <w:lvlText w:val=""/>
      <w:lvlJc w:val="left"/>
      <w:pPr>
        <w:ind w:left="2880" w:hanging="360"/>
      </w:pPr>
      <w:rPr>
        <w:rFonts w:ascii="Symbol" w:hAnsi="Symbol" w:hint="default"/>
      </w:rPr>
    </w:lvl>
    <w:lvl w:ilvl="4" w:tplc="603C47F0">
      <w:start w:val="1"/>
      <w:numFmt w:val="bullet"/>
      <w:lvlText w:val="o"/>
      <w:lvlJc w:val="left"/>
      <w:pPr>
        <w:ind w:left="3600" w:hanging="360"/>
      </w:pPr>
      <w:rPr>
        <w:rFonts w:ascii="Courier New" w:hAnsi="Courier New" w:hint="default"/>
      </w:rPr>
    </w:lvl>
    <w:lvl w:ilvl="5" w:tplc="5352CA32">
      <w:start w:val="1"/>
      <w:numFmt w:val="bullet"/>
      <w:lvlText w:val=""/>
      <w:lvlJc w:val="left"/>
      <w:pPr>
        <w:ind w:left="4320" w:hanging="360"/>
      </w:pPr>
      <w:rPr>
        <w:rFonts w:ascii="Wingdings" w:hAnsi="Wingdings" w:hint="default"/>
      </w:rPr>
    </w:lvl>
    <w:lvl w:ilvl="6" w:tplc="5B041B6C">
      <w:start w:val="1"/>
      <w:numFmt w:val="bullet"/>
      <w:lvlText w:val=""/>
      <w:lvlJc w:val="left"/>
      <w:pPr>
        <w:ind w:left="5040" w:hanging="360"/>
      </w:pPr>
      <w:rPr>
        <w:rFonts w:ascii="Symbol" w:hAnsi="Symbol" w:hint="default"/>
      </w:rPr>
    </w:lvl>
    <w:lvl w:ilvl="7" w:tplc="631ED890">
      <w:start w:val="1"/>
      <w:numFmt w:val="bullet"/>
      <w:lvlText w:val="o"/>
      <w:lvlJc w:val="left"/>
      <w:pPr>
        <w:ind w:left="5760" w:hanging="360"/>
      </w:pPr>
      <w:rPr>
        <w:rFonts w:ascii="Courier New" w:hAnsi="Courier New" w:hint="default"/>
      </w:rPr>
    </w:lvl>
    <w:lvl w:ilvl="8" w:tplc="A06AA59C">
      <w:start w:val="1"/>
      <w:numFmt w:val="bullet"/>
      <w:lvlText w:val=""/>
      <w:lvlJc w:val="left"/>
      <w:pPr>
        <w:ind w:left="6480" w:hanging="360"/>
      </w:pPr>
      <w:rPr>
        <w:rFonts w:ascii="Wingdings" w:hAnsi="Wingdings" w:hint="default"/>
      </w:rPr>
    </w:lvl>
  </w:abstractNum>
  <w:abstractNum w:abstractNumId="24" w15:restartNumberingAfterBreak="0">
    <w:nsid w:val="30950501"/>
    <w:multiLevelType w:val="hybridMultilevel"/>
    <w:tmpl w:val="02CA8058"/>
    <w:lvl w:ilvl="0" w:tplc="1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5" w15:restartNumberingAfterBreak="0">
    <w:nsid w:val="358A37E1"/>
    <w:multiLevelType w:val="hybridMultilevel"/>
    <w:tmpl w:val="FC722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6324F1E"/>
    <w:multiLevelType w:val="multilevel"/>
    <w:tmpl w:val="95C4F95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CB1E1C"/>
    <w:multiLevelType w:val="multilevel"/>
    <w:tmpl w:val="4972EC5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8526BEA"/>
    <w:multiLevelType w:val="hybridMultilevel"/>
    <w:tmpl w:val="75825C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3A7730C4"/>
    <w:multiLevelType w:val="multilevel"/>
    <w:tmpl w:val="E1AE5C2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3C02C37D"/>
    <w:multiLevelType w:val="hybridMultilevel"/>
    <w:tmpl w:val="FFFFFFFF"/>
    <w:lvl w:ilvl="0" w:tplc="8D6CCF34">
      <w:start w:val="1"/>
      <w:numFmt w:val="bullet"/>
      <w:lvlText w:val="§"/>
      <w:lvlJc w:val="left"/>
      <w:pPr>
        <w:ind w:left="720" w:hanging="360"/>
      </w:pPr>
      <w:rPr>
        <w:rFonts w:ascii="Wingdings" w:hAnsi="Wingdings" w:hint="default"/>
      </w:rPr>
    </w:lvl>
    <w:lvl w:ilvl="1" w:tplc="8938B6E0">
      <w:start w:val="1"/>
      <w:numFmt w:val="bullet"/>
      <w:lvlText w:val="o"/>
      <w:lvlJc w:val="left"/>
      <w:pPr>
        <w:ind w:left="1440" w:hanging="360"/>
      </w:pPr>
      <w:rPr>
        <w:rFonts w:ascii="Courier New" w:hAnsi="Courier New" w:hint="default"/>
      </w:rPr>
    </w:lvl>
    <w:lvl w:ilvl="2" w:tplc="2006D3D8">
      <w:start w:val="1"/>
      <w:numFmt w:val="bullet"/>
      <w:lvlText w:val=""/>
      <w:lvlJc w:val="left"/>
      <w:pPr>
        <w:ind w:left="2160" w:hanging="360"/>
      </w:pPr>
      <w:rPr>
        <w:rFonts w:ascii="Wingdings" w:hAnsi="Wingdings" w:hint="default"/>
      </w:rPr>
    </w:lvl>
    <w:lvl w:ilvl="3" w:tplc="99748EFA">
      <w:start w:val="1"/>
      <w:numFmt w:val="bullet"/>
      <w:lvlText w:val=""/>
      <w:lvlJc w:val="left"/>
      <w:pPr>
        <w:ind w:left="2880" w:hanging="360"/>
      </w:pPr>
      <w:rPr>
        <w:rFonts w:ascii="Symbol" w:hAnsi="Symbol" w:hint="default"/>
      </w:rPr>
    </w:lvl>
    <w:lvl w:ilvl="4" w:tplc="732484D4">
      <w:start w:val="1"/>
      <w:numFmt w:val="bullet"/>
      <w:lvlText w:val="o"/>
      <w:lvlJc w:val="left"/>
      <w:pPr>
        <w:ind w:left="3600" w:hanging="360"/>
      </w:pPr>
      <w:rPr>
        <w:rFonts w:ascii="Courier New" w:hAnsi="Courier New" w:hint="default"/>
      </w:rPr>
    </w:lvl>
    <w:lvl w:ilvl="5" w:tplc="4E44E79E">
      <w:start w:val="1"/>
      <w:numFmt w:val="bullet"/>
      <w:lvlText w:val=""/>
      <w:lvlJc w:val="left"/>
      <w:pPr>
        <w:ind w:left="4320" w:hanging="360"/>
      </w:pPr>
      <w:rPr>
        <w:rFonts w:ascii="Wingdings" w:hAnsi="Wingdings" w:hint="default"/>
      </w:rPr>
    </w:lvl>
    <w:lvl w:ilvl="6" w:tplc="54F6D1AC">
      <w:start w:val="1"/>
      <w:numFmt w:val="bullet"/>
      <w:lvlText w:val=""/>
      <w:lvlJc w:val="left"/>
      <w:pPr>
        <w:ind w:left="5040" w:hanging="360"/>
      </w:pPr>
      <w:rPr>
        <w:rFonts w:ascii="Symbol" w:hAnsi="Symbol" w:hint="default"/>
      </w:rPr>
    </w:lvl>
    <w:lvl w:ilvl="7" w:tplc="3258BB1A">
      <w:start w:val="1"/>
      <w:numFmt w:val="bullet"/>
      <w:lvlText w:val="o"/>
      <w:lvlJc w:val="left"/>
      <w:pPr>
        <w:ind w:left="5760" w:hanging="360"/>
      </w:pPr>
      <w:rPr>
        <w:rFonts w:ascii="Courier New" w:hAnsi="Courier New" w:hint="default"/>
      </w:rPr>
    </w:lvl>
    <w:lvl w:ilvl="8" w:tplc="703AC0D8">
      <w:start w:val="1"/>
      <w:numFmt w:val="bullet"/>
      <w:lvlText w:val=""/>
      <w:lvlJc w:val="left"/>
      <w:pPr>
        <w:ind w:left="6480" w:hanging="360"/>
      </w:pPr>
      <w:rPr>
        <w:rFonts w:ascii="Wingdings" w:hAnsi="Wingdings" w:hint="default"/>
      </w:rPr>
    </w:lvl>
  </w:abstractNum>
  <w:abstractNum w:abstractNumId="33"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34" w15:restartNumberingAfterBreak="0">
    <w:nsid w:val="3EE464FD"/>
    <w:multiLevelType w:val="hybridMultilevel"/>
    <w:tmpl w:val="082A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1F1A49"/>
    <w:multiLevelType w:val="multilevel"/>
    <w:tmpl w:val="2E9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BC11F1"/>
    <w:multiLevelType w:val="hybridMultilevel"/>
    <w:tmpl w:val="F47A9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9E662A"/>
    <w:multiLevelType w:val="multilevel"/>
    <w:tmpl w:val="83D2923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9" w15:restartNumberingAfterBreak="0">
    <w:nsid w:val="4D9D5169"/>
    <w:multiLevelType w:val="hybridMultilevel"/>
    <w:tmpl w:val="DF160B5C"/>
    <w:lvl w:ilvl="0" w:tplc="43FEBF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1A63DF"/>
    <w:multiLevelType w:val="multilevel"/>
    <w:tmpl w:val="3A08B00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1A982C"/>
    <w:multiLevelType w:val="multilevel"/>
    <w:tmpl w:val="64A8E49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619B"/>
    <w:multiLevelType w:val="multilevel"/>
    <w:tmpl w:val="BD52A63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0729B52"/>
    <w:multiLevelType w:val="multilevel"/>
    <w:tmpl w:val="06C866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5"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46" w15:restartNumberingAfterBreak="0">
    <w:nsid w:val="5CE0DCD5"/>
    <w:multiLevelType w:val="hybridMultilevel"/>
    <w:tmpl w:val="B838E1C0"/>
    <w:lvl w:ilvl="0" w:tplc="FCE695DA">
      <w:start w:val="1"/>
      <w:numFmt w:val="bullet"/>
      <w:lvlText w:val="·"/>
      <w:lvlJc w:val="left"/>
      <w:pPr>
        <w:ind w:left="-130" w:hanging="360"/>
      </w:pPr>
      <w:rPr>
        <w:rFonts w:ascii="Symbol" w:hAnsi="Symbol" w:hint="default"/>
      </w:rPr>
    </w:lvl>
    <w:lvl w:ilvl="1" w:tplc="31DA0096">
      <w:start w:val="1"/>
      <w:numFmt w:val="bullet"/>
      <w:lvlText w:val="o"/>
      <w:lvlJc w:val="left"/>
      <w:pPr>
        <w:ind w:left="590" w:hanging="360"/>
      </w:pPr>
      <w:rPr>
        <w:rFonts w:ascii="Courier New" w:hAnsi="Courier New" w:hint="default"/>
      </w:rPr>
    </w:lvl>
    <w:lvl w:ilvl="2" w:tplc="BA6C72B2">
      <w:start w:val="1"/>
      <w:numFmt w:val="bullet"/>
      <w:lvlText w:val=""/>
      <w:lvlJc w:val="left"/>
      <w:pPr>
        <w:ind w:left="1310" w:hanging="360"/>
      </w:pPr>
      <w:rPr>
        <w:rFonts w:ascii="Wingdings" w:hAnsi="Wingdings" w:hint="default"/>
      </w:rPr>
    </w:lvl>
    <w:lvl w:ilvl="3" w:tplc="890AB220">
      <w:start w:val="1"/>
      <w:numFmt w:val="bullet"/>
      <w:lvlText w:val=""/>
      <w:lvlJc w:val="left"/>
      <w:pPr>
        <w:ind w:left="2030" w:hanging="360"/>
      </w:pPr>
      <w:rPr>
        <w:rFonts w:ascii="Symbol" w:hAnsi="Symbol" w:hint="default"/>
      </w:rPr>
    </w:lvl>
    <w:lvl w:ilvl="4" w:tplc="10724E8E">
      <w:start w:val="1"/>
      <w:numFmt w:val="bullet"/>
      <w:lvlText w:val="o"/>
      <w:lvlJc w:val="left"/>
      <w:pPr>
        <w:ind w:left="2750" w:hanging="360"/>
      </w:pPr>
      <w:rPr>
        <w:rFonts w:ascii="Courier New" w:hAnsi="Courier New" w:hint="default"/>
      </w:rPr>
    </w:lvl>
    <w:lvl w:ilvl="5" w:tplc="0816ADBA">
      <w:start w:val="1"/>
      <w:numFmt w:val="bullet"/>
      <w:lvlText w:val=""/>
      <w:lvlJc w:val="left"/>
      <w:pPr>
        <w:ind w:left="3470" w:hanging="360"/>
      </w:pPr>
      <w:rPr>
        <w:rFonts w:ascii="Wingdings" w:hAnsi="Wingdings" w:hint="default"/>
      </w:rPr>
    </w:lvl>
    <w:lvl w:ilvl="6" w:tplc="55889D84">
      <w:start w:val="1"/>
      <w:numFmt w:val="bullet"/>
      <w:lvlText w:val=""/>
      <w:lvlJc w:val="left"/>
      <w:pPr>
        <w:ind w:left="4190" w:hanging="360"/>
      </w:pPr>
      <w:rPr>
        <w:rFonts w:ascii="Symbol" w:hAnsi="Symbol" w:hint="default"/>
      </w:rPr>
    </w:lvl>
    <w:lvl w:ilvl="7" w:tplc="7FF4219E">
      <w:start w:val="1"/>
      <w:numFmt w:val="bullet"/>
      <w:lvlText w:val="o"/>
      <w:lvlJc w:val="left"/>
      <w:pPr>
        <w:ind w:left="4910" w:hanging="360"/>
      </w:pPr>
      <w:rPr>
        <w:rFonts w:ascii="Courier New" w:hAnsi="Courier New" w:hint="default"/>
      </w:rPr>
    </w:lvl>
    <w:lvl w:ilvl="8" w:tplc="0CDE1D6C">
      <w:start w:val="1"/>
      <w:numFmt w:val="bullet"/>
      <w:lvlText w:val=""/>
      <w:lvlJc w:val="left"/>
      <w:pPr>
        <w:ind w:left="5630" w:hanging="360"/>
      </w:pPr>
      <w:rPr>
        <w:rFonts w:ascii="Wingdings" w:hAnsi="Wingdings" w:hint="default"/>
      </w:rPr>
    </w:lvl>
  </w:abstractNum>
  <w:abstractNum w:abstractNumId="47"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8"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9" w15:restartNumberingAfterBreak="0">
    <w:nsid w:val="5FF46F51"/>
    <w:multiLevelType w:val="hybridMultilevel"/>
    <w:tmpl w:val="8F842EBE"/>
    <w:lvl w:ilvl="0" w:tplc="D7E29A9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51" w15:restartNumberingAfterBreak="0">
    <w:nsid w:val="6604A5BF"/>
    <w:multiLevelType w:val="hybridMultilevel"/>
    <w:tmpl w:val="2D58FA0C"/>
    <w:lvl w:ilvl="0" w:tplc="2C0889C6">
      <w:start w:val="1"/>
      <w:numFmt w:val="bullet"/>
      <w:lvlText w:val=""/>
      <w:lvlJc w:val="left"/>
      <w:pPr>
        <w:ind w:left="720" w:hanging="360"/>
      </w:pPr>
      <w:rPr>
        <w:rFonts w:ascii="Symbol" w:hAnsi="Symbol" w:hint="default"/>
      </w:rPr>
    </w:lvl>
    <w:lvl w:ilvl="1" w:tplc="D5687C54">
      <w:start w:val="1"/>
      <w:numFmt w:val="bullet"/>
      <w:lvlText w:val="o"/>
      <w:lvlJc w:val="left"/>
      <w:pPr>
        <w:ind w:left="1440" w:hanging="360"/>
      </w:pPr>
      <w:rPr>
        <w:rFonts w:ascii="Courier New" w:hAnsi="Courier New" w:hint="default"/>
      </w:rPr>
    </w:lvl>
    <w:lvl w:ilvl="2" w:tplc="20EA3ABC">
      <w:start w:val="1"/>
      <w:numFmt w:val="bullet"/>
      <w:lvlText w:val=""/>
      <w:lvlJc w:val="left"/>
      <w:pPr>
        <w:ind w:left="2160" w:hanging="360"/>
      </w:pPr>
      <w:rPr>
        <w:rFonts w:ascii="Wingdings" w:hAnsi="Wingdings" w:hint="default"/>
      </w:rPr>
    </w:lvl>
    <w:lvl w:ilvl="3" w:tplc="ADA0446C">
      <w:start w:val="1"/>
      <w:numFmt w:val="bullet"/>
      <w:lvlText w:val=""/>
      <w:lvlJc w:val="left"/>
      <w:pPr>
        <w:ind w:left="2880" w:hanging="360"/>
      </w:pPr>
      <w:rPr>
        <w:rFonts w:ascii="Symbol" w:hAnsi="Symbol" w:hint="default"/>
      </w:rPr>
    </w:lvl>
    <w:lvl w:ilvl="4" w:tplc="3EF6F1AE">
      <w:start w:val="1"/>
      <w:numFmt w:val="bullet"/>
      <w:lvlText w:val="o"/>
      <w:lvlJc w:val="left"/>
      <w:pPr>
        <w:ind w:left="3600" w:hanging="360"/>
      </w:pPr>
      <w:rPr>
        <w:rFonts w:ascii="Courier New" w:hAnsi="Courier New" w:hint="default"/>
      </w:rPr>
    </w:lvl>
    <w:lvl w:ilvl="5" w:tplc="2B78F5D4">
      <w:start w:val="1"/>
      <w:numFmt w:val="bullet"/>
      <w:lvlText w:val=""/>
      <w:lvlJc w:val="left"/>
      <w:pPr>
        <w:ind w:left="4320" w:hanging="360"/>
      </w:pPr>
      <w:rPr>
        <w:rFonts w:ascii="Wingdings" w:hAnsi="Wingdings" w:hint="default"/>
      </w:rPr>
    </w:lvl>
    <w:lvl w:ilvl="6" w:tplc="4CFCC696">
      <w:start w:val="1"/>
      <w:numFmt w:val="bullet"/>
      <w:lvlText w:val=""/>
      <w:lvlJc w:val="left"/>
      <w:pPr>
        <w:ind w:left="5040" w:hanging="360"/>
      </w:pPr>
      <w:rPr>
        <w:rFonts w:ascii="Symbol" w:hAnsi="Symbol" w:hint="default"/>
      </w:rPr>
    </w:lvl>
    <w:lvl w:ilvl="7" w:tplc="E0909D08">
      <w:start w:val="1"/>
      <w:numFmt w:val="bullet"/>
      <w:lvlText w:val="o"/>
      <w:lvlJc w:val="left"/>
      <w:pPr>
        <w:ind w:left="5760" w:hanging="360"/>
      </w:pPr>
      <w:rPr>
        <w:rFonts w:ascii="Courier New" w:hAnsi="Courier New" w:hint="default"/>
      </w:rPr>
    </w:lvl>
    <w:lvl w:ilvl="8" w:tplc="D9F4E46C">
      <w:start w:val="1"/>
      <w:numFmt w:val="bullet"/>
      <w:lvlText w:val=""/>
      <w:lvlJc w:val="left"/>
      <w:pPr>
        <w:ind w:left="6480" w:hanging="360"/>
      </w:pPr>
      <w:rPr>
        <w:rFonts w:ascii="Wingdings" w:hAnsi="Wingdings" w:hint="default"/>
      </w:rPr>
    </w:lvl>
  </w:abstractNum>
  <w:abstractNum w:abstractNumId="52" w15:restartNumberingAfterBreak="0">
    <w:nsid w:val="693F719A"/>
    <w:multiLevelType w:val="multilevel"/>
    <w:tmpl w:val="DAA8D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77472E"/>
    <w:multiLevelType w:val="multilevel"/>
    <w:tmpl w:val="B03699F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4"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55" w15:restartNumberingAfterBreak="0">
    <w:nsid w:val="6E21654A"/>
    <w:multiLevelType w:val="hybridMultilevel"/>
    <w:tmpl w:val="17F0DBD8"/>
    <w:lvl w:ilvl="0" w:tplc="A2BC9158">
      <w:start w:val="1"/>
      <w:numFmt w:val="bullet"/>
      <w:lvlText w:val="Ø"/>
      <w:lvlJc w:val="left"/>
      <w:pPr>
        <w:ind w:left="720" w:hanging="360"/>
      </w:pPr>
      <w:rPr>
        <w:rFonts w:ascii="Wingdings" w:hAnsi="Wingdings" w:hint="default"/>
      </w:rPr>
    </w:lvl>
    <w:lvl w:ilvl="1" w:tplc="46F6DD66">
      <w:start w:val="1"/>
      <w:numFmt w:val="bullet"/>
      <w:lvlText w:val="o"/>
      <w:lvlJc w:val="left"/>
      <w:pPr>
        <w:ind w:left="1440" w:hanging="360"/>
      </w:pPr>
      <w:rPr>
        <w:rFonts w:ascii="Courier New" w:hAnsi="Courier New" w:hint="default"/>
      </w:rPr>
    </w:lvl>
    <w:lvl w:ilvl="2" w:tplc="43961E8E">
      <w:start w:val="1"/>
      <w:numFmt w:val="bullet"/>
      <w:lvlText w:val=""/>
      <w:lvlJc w:val="left"/>
      <w:pPr>
        <w:ind w:left="2160" w:hanging="360"/>
      </w:pPr>
      <w:rPr>
        <w:rFonts w:ascii="Wingdings" w:hAnsi="Wingdings" w:hint="default"/>
      </w:rPr>
    </w:lvl>
    <w:lvl w:ilvl="3" w:tplc="AE324920">
      <w:start w:val="1"/>
      <w:numFmt w:val="bullet"/>
      <w:lvlText w:val=""/>
      <w:lvlJc w:val="left"/>
      <w:pPr>
        <w:ind w:left="2880" w:hanging="360"/>
      </w:pPr>
      <w:rPr>
        <w:rFonts w:ascii="Symbol" w:hAnsi="Symbol" w:hint="default"/>
      </w:rPr>
    </w:lvl>
    <w:lvl w:ilvl="4" w:tplc="9CB66822">
      <w:start w:val="1"/>
      <w:numFmt w:val="bullet"/>
      <w:lvlText w:val="o"/>
      <w:lvlJc w:val="left"/>
      <w:pPr>
        <w:ind w:left="3600" w:hanging="360"/>
      </w:pPr>
      <w:rPr>
        <w:rFonts w:ascii="Courier New" w:hAnsi="Courier New" w:hint="default"/>
      </w:rPr>
    </w:lvl>
    <w:lvl w:ilvl="5" w:tplc="446C4FE2">
      <w:start w:val="1"/>
      <w:numFmt w:val="bullet"/>
      <w:lvlText w:val=""/>
      <w:lvlJc w:val="left"/>
      <w:pPr>
        <w:ind w:left="4320" w:hanging="360"/>
      </w:pPr>
      <w:rPr>
        <w:rFonts w:ascii="Wingdings" w:hAnsi="Wingdings" w:hint="default"/>
      </w:rPr>
    </w:lvl>
    <w:lvl w:ilvl="6" w:tplc="01127868">
      <w:start w:val="1"/>
      <w:numFmt w:val="bullet"/>
      <w:lvlText w:val=""/>
      <w:lvlJc w:val="left"/>
      <w:pPr>
        <w:ind w:left="5040" w:hanging="360"/>
      </w:pPr>
      <w:rPr>
        <w:rFonts w:ascii="Symbol" w:hAnsi="Symbol" w:hint="default"/>
      </w:rPr>
    </w:lvl>
    <w:lvl w:ilvl="7" w:tplc="A8CE9372">
      <w:start w:val="1"/>
      <w:numFmt w:val="bullet"/>
      <w:lvlText w:val="o"/>
      <w:lvlJc w:val="left"/>
      <w:pPr>
        <w:ind w:left="5760" w:hanging="360"/>
      </w:pPr>
      <w:rPr>
        <w:rFonts w:ascii="Courier New" w:hAnsi="Courier New" w:hint="default"/>
      </w:rPr>
    </w:lvl>
    <w:lvl w:ilvl="8" w:tplc="F67C7C72">
      <w:start w:val="1"/>
      <w:numFmt w:val="bullet"/>
      <w:lvlText w:val=""/>
      <w:lvlJc w:val="left"/>
      <w:pPr>
        <w:ind w:left="6480" w:hanging="360"/>
      </w:pPr>
      <w:rPr>
        <w:rFonts w:ascii="Wingdings" w:hAnsi="Wingdings" w:hint="default"/>
      </w:rPr>
    </w:lvl>
  </w:abstractNum>
  <w:abstractNum w:abstractNumId="5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1BE5FE0"/>
    <w:multiLevelType w:val="hybridMultilevel"/>
    <w:tmpl w:val="C4FEDE66"/>
    <w:lvl w:ilvl="0" w:tplc="7B886D00">
      <w:start w:val="1"/>
      <w:numFmt w:val="decimal"/>
      <w:lvlText w:val="%1."/>
      <w:lvlJc w:val="left"/>
      <w:pPr>
        <w:ind w:left="720" w:hanging="360"/>
      </w:pPr>
    </w:lvl>
    <w:lvl w:ilvl="1" w:tplc="F6D01ED6">
      <w:start w:val="1"/>
      <w:numFmt w:val="lowerLetter"/>
      <w:lvlText w:val="%2."/>
      <w:lvlJc w:val="left"/>
      <w:pPr>
        <w:ind w:left="1440" w:hanging="360"/>
      </w:pPr>
    </w:lvl>
    <w:lvl w:ilvl="2" w:tplc="49AA8E06">
      <w:start w:val="1"/>
      <w:numFmt w:val="lowerRoman"/>
      <w:lvlText w:val="%3."/>
      <w:lvlJc w:val="right"/>
      <w:pPr>
        <w:ind w:left="2160" w:hanging="180"/>
      </w:pPr>
    </w:lvl>
    <w:lvl w:ilvl="3" w:tplc="05BAFFB0">
      <w:start w:val="1"/>
      <w:numFmt w:val="decimal"/>
      <w:lvlText w:val="%4."/>
      <w:lvlJc w:val="left"/>
      <w:pPr>
        <w:ind w:left="2880" w:hanging="360"/>
      </w:pPr>
    </w:lvl>
    <w:lvl w:ilvl="4" w:tplc="94A4DD78">
      <w:start w:val="1"/>
      <w:numFmt w:val="lowerLetter"/>
      <w:lvlText w:val="%5."/>
      <w:lvlJc w:val="left"/>
      <w:pPr>
        <w:ind w:left="3600" w:hanging="360"/>
      </w:pPr>
    </w:lvl>
    <w:lvl w:ilvl="5" w:tplc="099859F4">
      <w:start w:val="1"/>
      <w:numFmt w:val="lowerRoman"/>
      <w:lvlText w:val="%6."/>
      <w:lvlJc w:val="right"/>
      <w:pPr>
        <w:ind w:left="4320" w:hanging="180"/>
      </w:pPr>
    </w:lvl>
    <w:lvl w:ilvl="6" w:tplc="6A7C8348">
      <w:start w:val="1"/>
      <w:numFmt w:val="decimal"/>
      <w:lvlText w:val="%7."/>
      <w:lvlJc w:val="left"/>
      <w:pPr>
        <w:ind w:left="5040" w:hanging="360"/>
      </w:pPr>
    </w:lvl>
    <w:lvl w:ilvl="7" w:tplc="CDF85C6A">
      <w:start w:val="1"/>
      <w:numFmt w:val="lowerLetter"/>
      <w:lvlText w:val="%8."/>
      <w:lvlJc w:val="left"/>
      <w:pPr>
        <w:ind w:left="5760" w:hanging="360"/>
      </w:pPr>
    </w:lvl>
    <w:lvl w:ilvl="8" w:tplc="C8F05C2E">
      <w:start w:val="1"/>
      <w:numFmt w:val="lowerRoman"/>
      <w:lvlText w:val="%9."/>
      <w:lvlJc w:val="right"/>
      <w:pPr>
        <w:ind w:left="6480" w:hanging="180"/>
      </w:pPr>
    </w:lvl>
  </w:abstractNum>
  <w:abstractNum w:abstractNumId="58" w15:restartNumberingAfterBreak="0">
    <w:nsid w:val="74A4128C"/>
    <w:multiLevelType w:val="hybridMultilevel"/>
    <w:tmpl w:val="6A326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D92B67"/>
    <w:multiLevelType w:val="hybridMultilevel"/>
    <w:tmpl w:val="4E5A41A2"/>
    <w:lvl w:ilvl="0" w:tplc="454AB5FA">
      <w:start w:val="1"/>
      <w:numFmt w:val="bullet"/>
      <w:lvlText w:val=""/>
      <w:lvlJc w:val="left"/>
      <w:pPr>
        <w:ind w:left="720" w:hanging="360"/>
      </w:pPr>
      <w:rPr>
        <w:rFonts w:ascii="Symbol" w:hAnsi="Symbol" w:hint="default"/>
      </w:rPr>
    </w:lvl>
    <w:lvl w:ilvl="1" w:tplc="AA52A150">
      <w:start w:val="1"/>
      <w:numFmt w:val="bullet"/>
      <w:lvlText w:val="o"/>
      <w:lvlJc w:val="left"/>
      <w:pPr>
        <w:ind w:left="1440" w:hanging="360"/>
      </w:pPr>
      <w:rPr>
        <w:rFonts w:ascii="Courier New" w:hAnsi="Courier New" w:hint="default"/>
      </w:rPr>
    </w:lvl>
    <w:lvl w:ilvl="2" w:tplc="ED42AA7E">
      <w:start w:val="1"/>
      <w:numFmt w:val="bullet"/>
      <w:lvlText w:val=""/>
      <w:lvlJc w:val="left"/>
      <w:pPr>
        <w:ind w:left="2160" w:hanging="360"/>
      </w:pPr>
      <w:rPr>
        <w:rFonts w:ascii="Wingdings" w:hAnsi="Wingdings" w:hint="default"/>
      </w:rPr>
    </w:lvl>
    <w:lvl w:ilvl="3" w:tplc="44C0E904">
      <w:start w:val="1"/>
      <w:numFmt w:val="bullet"/>
      <w:lvlText w:val=""/>
      <w:lvlJc w:val="left"/>
      <w:pPr>
        <w:ind w:left="2880" w:hanging="360"/>
      </w:pPr>
      <w:rPr>
        <w:rFonts w:ascii="Symbol" w:hAnsi="Symbol" w:hint="default"/>
      </w:rPr>
    </w:lvl>
    <w:lvl w:ilvl="4" w:tplc="D172AEB0">
      <w:start w:val="1"/>
      <w:numFmt w:val="bullet"/>
      <w:lvlText w:val="o"/>
      <w:lvlJc w:val="left"/>
      <w:pPr>
        <w:ind w:left="3600" w:hanging="360"/>
      </w:pPr>
      <w:rPr>
        <w:rFonts w:ascii="Courier New" w:hAnsi="Courier New" w:hint="default"/>
      </w:rPr>
    </w:lvl>
    <w:lvl w:ilvl="5" w:tplc="21FE91F0">
      <w:start w:val="1"/>
      <w:numFmt w:val="bullet"/>
      <w:lvlText w:val=""/>
      <w:lvlJc w:val="left"/>
      <w:pPr>
        <w:ind w:left="4320" w:hanging="360"/>
      </w:pPr>
      <w:rPr>
        <w:rFonts w:ascii="Wingdings" w:hAnsi="Wingdings" w:hint="default"/>
      </w:rPr>
    </w:lvl>
    <w:lvl w:ilvl="6" w:tplc="19321CCC">
      <w:start w:val="1"/>
      <w:numFmt w:val="bullet"/>
      <w:lvlText w:val=""/>
      <w:lvlJc w:val="left"/>
      <w:pPr>
        <w:ind w:left="5040" w:hanging="360"/>
      </w:pPr>
      <w:rPr>
        <w:rFonts w:ascii="Symbol" w:hAnsi="Symbol" w:hint="default"/>
      </w:rPr>
    </w:lvl>
    <w:lvl w:ilvl="7" w:tplc="FF4A518A">
      <w:start w:val="1"/>
      <w:numFmt w:val="bullet"/>
      <w:lvlText w:val="o"/>
      <w:lvlJc w:val="left"/>
      <w:pPr>
        <w:ind w:left="5760" w:hanging="360"/>
      </w:pPr>
      <w:rPr>
        <w:rFonts w:ascii="Courier New" w:hAnsi="Courier New" w:hint="default"/>
      </w:rPr>
    </w:lvl>
    <w:lvl w:ilvl="8" w:tplc="910E2FE4">
      <w:start w:val="1"/>
      <w:numFmt w:val="bullet"/>
      <w:lvlText w:val=""/>
      <w:lvlJc w:val="left"/>
      <w:pPr>
        <w:ind w:left="6480" w:hanging="360"/>
      </w:pPr>
      <w:rPr>
        <w:rFonts w:ascii="Wingdings" w:hAnsi="Wingdings" w:hint="default"/>
      </w:rPr>
    </w:lvl>
  </w:abstractNum>
  <w:abstractNum w:abstractNumId="60"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B984E0C"/>
    <w:multiLevelType w:val="hybridMultilevel"/>
    <w:tmpl w:val="2782E8F4"/>
    <w:lvl w:ilvl="0" w:tplc="1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3" w15:restartNumberingAfterBreak="0">
    <w:nsid w:val="7C65145E"/>
    <w:multiLevelType w:val="multilevel"/>
    <w:tmpl w:val="F60CB52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6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5" w15:restartNumberingAfterBreak="0">
    <w:nsid w:val="7CCDDBC5"/>
    <w:multiLevelType w:val="hybridMultilevel"/>
    <w:tmpl w:val="381271BA"/>
    <w:lvl w:ilvl="0" w:tplc="7FB83610">
      <w:start w:val="1"/>
      <w:numFmt w:val="bullet"/>
      <w:lvlText w:val=""/>
      <w:lvlJc w:val="left"/>
      <w:pPr>
        <w:ind w:left="360" w:hanging="360"/>
      </w:pPr>
      <w:rPr>
        <w:rFonts w:ascii="Symbol" w:hAnsi="Symbol" w:hint="default"/>
      </w:rPr>
    </w:lvl>
    <w:lvl w:ilvl="1" w:tplc="5418A99A">
      <w:start w:val="1"/>
      <w:numFmt w:val="bullet"/>
      <w:lvlText w:val="o"/>
      <w:lvlJc w:val="left"/>
      <w:pPr>
        <w:ind w:left="1440" w:hanging="360"/>
      </w:pPr>
      <w:rPr>
        <w:rFonts w:ascii="Courier New" w:hAnsi="Courier New" w:hint="default"/>
      </w:rPr>
    </w:lvl>
    <w:lvl w:ilvl="2" w:tplc="29D0896A">
      <w:start w:val="1"/>
      <w:numFmt w:val="bullet"/>
      <w:lvlText w:val=""/>
      <w:lvlJc w:val="left"/>
      <w:pPr>
        <w:ind w:left="2160" w:hanging="360"/>
      </w:pPr>
      <w:rPr>
        <w:rFonts w:ascii="Wingdings" w:hAnsi="Wingdings" w:hint="default"/>
      </w:rPr>
    </w:lvl>
    <w:lvl w:ilvl="3" w:tplc="42F051D2">
      <w:start w:val="1"/>
      <w:numFmt w:val="bullet"/>
      <w:lvlText w:val=""/>
      <w:lvlJc w:val="left"/>
      <w:pPr>
        <w:ind w:left="2880" w:hanging="360"/>
      </w:pPr>
      <w:rPr>
        <w:rFonts w:ascii="Symbol" w:hAnsi="Symbol" w:hint="default"/>
      </w:rPr>
    </w:lvl>
    <w:lvl w:ilvl="4" w:tplc="54AE10DE">
      <w:start w:val="1"/>
      <w:numFmt w:val="bullet"/>
      <w:lvlText w:val="o"/>
      <w:lvlJc w:val="left"/>
      <w:pPr>
        <w:ind w:left="3600" w:hanging="360"/>
      </w:pPr>
      <w:rPr>
        <w:rFonts w:ascii="Courier New" w:hAnsi="Courier New" w:hint="default"/>
      </w:rPr>
    </w:lvl>
    <w:lvl w:ilvl="5" w:tplc="6718804C">
      <w:start w:val="1"/>
      <w:numFmt w:val="bullet"/>
      <w:lvlText w:val=""/>
      <w:lvlJc w:val="left"/>
      <w:pPr>
        <w:ind w:left="4320" w:hanging="360"/>
      </w:pPr>
      <w:rPr>
        <w:rFonts w:ascii="Wingdings" w:hAnsi="Wingdings" w:hint="default"/>
      </w:rPr>
    </w:lvl>
    <w:lvl w:ilvl="6" w:tplc="5C2C9CF8">
      <w:start w:val="1"/>
      <w:numFmt w:val="bullet"/>
      <w:lvlText w:val=""/>
      <w:lvlJc w:val="left"/>
      <w:pPr>
        <w:ind w:left="5040" w:hanging="360"/>
      </w:pPr>
      <w:rPr>
        <w:rFonts w:ascii="Symbol" w:hAnsi="Symbol" w:hint="default"/>
      </w:rPr>
    </w:lvl>
    <w:lvl w:ilvl="7" w:tplc="4D1EC934">
      <w:start w:val="1"/>
      <w:numFmt w:val="bullet"/>
      <w:lvlText w:val="o"/>
      <w:lvlJc w:val="left"/>
      <w:pPr>
        <w:ind w:left="5760" w:hanging="360"/>
      </w:pPr>
      <w:rPr>
        <w:rFonts w:ascii="Courier New" w:hAnsi="Courier New" w:hint="default"/>
      </w:rPr>
    </w:lvl>
    <w:lvl w:ilvl="8" w:tplc="64568FDA">
      <w:start w:val="1"/>
      <w:numFmt w:val="bullet"/>
      <w:lvlText w:val=""/>
      <w:lvlJc w:val="left"/>
      <w:pPr>
        <w:ind w:left="6480" w:hanging="360"/>
      </w:pPr>
      <w:rPr>
        <w:rFonts w:ascii="Wingdings" w:hAnsi="Wingdings" w:hint="default"/>
      </w:rPr>
    </w:lvl>
  </w:abstractNum>
  <w:num w:numId="1">
    <w:abstractNumId w:val="23"/>
  </w:num>
  <w:num w:numId="2">
    <w:abstractNumId w:val="55"/>
  </w:num>
  <w:num w:numId="3">
    <w:abstractNumId w:val="46"/>
  </w:num>
  <w:num w:numId="4">
    <w:abstractNumId w:val="14"/>
  </w:num>
  <w:num w:numId="5">
    <w:abstractNumId w:val="2"/>
  </w:num>
  <w:num w:numId="6">
    <w:abstractNumId w:val="59"/>
  </w:num>
  <w:num w:numId="7">
    <w:abstractNumId w:val="65"/>
  </w:num>
  <w:num w:numId="8">
    <w:abstractNumId w:val="57"/>
  </w:num>
  <w:num w:numId="9">
    <w:abstractNumId w:val="51"/>
  </w:num>
  <w:num w:numId="10">
    <w:abstractNumId w:val="44"/>
  </w:num>
  <w:num w:numId="11">
    <w:abstractNumId w:val="19"/>
  </w:num>
  <w:num w:numId="12">
    <w:abstractNumId w:val="48"/>
  </w:num>
  <w:num w:numId="13">
    <w:abstractNumId w:val="47"/>
  </w:num>
  <w:num w:numId="14">
    <w:abstractNumId w:val="38"/>
  </w:num>
  <w:num w:numId="15">
    <w:abstractNumId w:val="54"/>
  </w:num>
  <w:num w:numId="16">
    <w:abstractNumId w:val="60"/>
  </w:num>
  <w:num w:numId="17">
    <w:abstractNumId w:val="56"/>
  </w:num>
  <w:num w:numId="18">
    <w:abstractNumId w:val="62"/>
  </w:num>
  <w:num w:numId="19">
    <w:abstractNumId w:val="31"/>
  </w:num>
  <w:num w:numId="20">
    <w:abstractNumId w:val="29"/>
  </w:num>
  <w:num w:numId="21">
    <w:abstractNumId w:val="50"/>
  </w:num>
  <w:num w:numId="22">
    <w:abstractNumId w:val="33"/>
  </w:num>
  <w:num w:numId="23">
    <w:abstractNumId w:val="45"/>
  </w:num>
  <w:num w:numId="24">
    <w:abstractNumId w:val="6"/>
  </w:num>
  <w:num w:numId="25">
    <w:abstractNumId w:val="4"/>
  </w:num>
  <w:num w:numId="26">
    <w:abstractNumId w:val="26"/>
  </w:num>
  <w:num w:numId="27">
    <w:abstractNumId w:val="16"/>
  </w:num>
  <w:num w:numId="28">
    <w:abstractNumId w:val="27"/>
  </w:num>
  <w:num w:numId="29">
    <w:abstractNumId w:val="42"/>
  </w:num>
  <w:num w:numId="30">
    <w:abstractNumId w:val="53"/>
  </w:num>
  <w:num w:numId="31">
    <w:abstractNumId w:val="7"/>
  </w:num>
  <w:num w:numId="32">
    <w:abstractNumId w:val="12"/>
  </w:num>
  <w:num w:numId="33">
    <w:abstractNumId w:val="37"/>
  </w:num>
  <w:num w:numId="34">
    <w:abstractNumId w:val="8"/>
  </w:num>
  <w:num w:numId="35">
    <w:abstractNumId w:val="10"/>
  </w:num>
  <w:num w:numId="36">
    <w:abstractNumId w:val="11"/>
  </w:num>
  <w:num w:numId="37">
    <w:abstractNumId w:val="20"/>
  </w:num>
  <w:num w:numId="38">
    <w:abstractNumId w:val="30"/>
  </w:num>
  <w:num w:numId="39">
    <w:abstractNumId w:val="41"/>
  </w:num>
  <w:num w:numId="40">
    <w:abstractNumId w:val="63"/>
  </w:num>
  <w:num w:numId="41">
    <w:abstractNumId w:val="21"/>
  </w:num>
  <w:num w:numId="42">
    <w:abstractNumId w:val="22"/>
  </w:num>
  <w:num w:numId="43">
    <w:abstractNumId w:val="64"/>
  </w:num>
  <w:num w:numId="44">
    <w:abstractNumId w:val="40"/>
  </w:num>
  <w:num w:numId="45">
    <w:abstractNumId w:val="43"/>
  </w:num>
  <w:num w:numId="46">
    <w:abstractNumId w:val="9"/>
  </w:num>
  <w:num w:numId="47">
    <w:abstractNumId w:val="0"/>
  </w:num>
  <w:num w:numId="48">
    <w:abstractNumId w:val="0"/>
  </w:num>
  <w:num w:numId="49">
    <w:abstractNumId w:val="39"/>
  </w:num>
  <w:num w:numId="50">
    <w:abstractNumId w:val="13"/>
  </w:num>
  <w:num w:numId="51">
    <w:abstractNumId w:val="60"/>
  </w:num>
  <w:num w:numId="52">
    <w:abstractNumId w:val="25"/>
  </w:num>
  <w:num w:numId="53">
    <w:abstractNumId w:val="58"/>
  </w:num>
  <w:num w:numId="54">
    <w:abstractNumId w:val="49"/>
  </w:num>
  <w:num w:numId="55">
    <w:abstractNumId w:val="35"/>
  </w:num>
  <w:num w:numId="56">
    <w:abstractNumId w:val="3"/>
  </w:num>
  <w:num w:numId="57">
    <w:abstractNumId w:val="32"/>
  </w:num>
  <w:num w:numId="58">
    <w:abstractNumId w:val="24"/>
  </w:num>
  <w:num w:numId="59">
    <w:abstractNumId w:val="52"/>
  </w:num>
  <w:num w:numId="60">
    <w:abstractNumId w:val="34"/>
  </w:num>
  <w:num w:numId="61">
    <w:abstractNumId w:val="36"/>
  </w:num>
  <w:num w:numId="62">
    <w:abstractNumId w:val="17"/>
  </w:num>
  <w:num w:numId="63">
    <w:abstractNumId w:val="5"/>
  </w:num>
  <w:num w:numId="64">
    <w:abstractNumId w:val="28"/>
  </w:num>
  <w:num w:numId="65">
    <w:abstractNumId w:val="18"/>
  </w:num>
  <w:num w:numId="66">
    <w:abstractNumId w:val="1"/>
  </w:num>
  <w:num w:numId="67">
    <w:abstractNumId w:val="15"/>
  </w:num>
  <w:num w:numId="68">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F96928B3-6ADF-446D-8452-F0881852DB4B"/>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anual privind activit\u259?\u539?ile de cercetare \u537?i de dezvoltare tehnologic\u259? ale Uniunii Europene \u537?i monitorizarea programului Orizont Europa în 2025_x000b_"/>
    <w:docVar w:name="LW_TYPE.DOC.CP" w:val="RAPORT AL COMISIEI C\u258?TRE PARLAMENTUL EUROPEAN \u536?I CONSILIU"/>
    <w:docVar w:name="LwApiVersions" w:val="LW4CoDe 1.24.5.0; LW 9.2, Build 20251112"/>
  </w:docVars>
  <w:rsids>
    <w:rsidRoot w:val="005643CD"/>
    <w:rsid w:val="0000068A"/>
    <w:rsid w:val="00000BFE"/>
    <w:rsid w:val="00001C06"/>
    <w:rsid w:val="00002CA5"/>
    <w:rsid w:val="0000302A"/>
    <w:rsid w:val="000030E6"/>
    <w:rsid w:val="000031EB"/>
    <w:rsid w:val="0000344B"/>
    <w:rsid w:val="000037C5"/>
    <w:rsid w:val="00003B58"/>
    <w:rsid w:val="0000450E"/>
    <w:rsid w:val="0000468F"/>
    <w:rsid w:val="0000549F"/>
    <w:rsid w:val="00006097"/>
    <w:rsid w:val="00006752"/>
    <w:rsid w:val="0000695E"/>
    <w:rsid w:val="00007215"/>
    <w:rsid w:val="0001020E"/>
    <w:rsid w:val="0001032F"/>
    <w:rsid w:val="00011CC4"/>
    <w:rsid w:val="00012922"/>
    <w:rsid w:val="00013228"/>
    <w:rsid w:val="000137FA"/>
    <w:rsid w:val="000144BD"/>
    <w:rsid w:val="00015553"/>
    <w:rsid w:val="00015EF8"/>
    <w:rsid w:val="00016CBE"/>
    <w:rsid w:val="00017802"/>
    <w:rsid w:val="00020D37"/>
    <w:rsid w:val="00022F7C"/>
    <w:rsid w:val="0002463A"/>
    <w:rsid w:val="000246F9"/>
    <w:rsid w:val="00025545"/>
    <w:rsid w:val="00026231"/>
    <w:rsid w:val="0002698B"/>
    <w:rsid w:val="000274B8"/>
    <w:rsid w:val="00030176"/>
    <w:rsid w:val="000301F1"/>
    <w:rsid w:val="00030756"/>
    <w:rsid w:val="00030B46"/>
    <w:rsid w:val="0003102D"/>
    <w:rsid w:val="00032E28"/>
    <w:rsid w:val="00033880"/>
    <w:rsid w:val="00033CC6"/>
    <w:rsid w:val="000361D6"/>
    <w:rsid w:val="00037704"/>
    <w:rsid w:val="0004071A"/>
    <w:rsid w:val="00042737"/>
    <w:rsid w:val="000446B5"/>
    <w:rsid w:val="00046024"/>
    <w:rsid w:val="000465B8"/>
    <w:rsid w:val="0004796E"/>
    <w:rsid w:val="00047ABC"/>
    <w:rsid w:val="00050011"/>
    <w:rsid w:val="00050F68"/>
    <w:rsid w:val="00051503"/>
    <w:rsid w:val="00051978"/>
    <w:rsid w:val="000519C9"/>
    <w:rsid w:val="00051D64"/>
    <w:rsid w:val="0005262F"/>
    <w:rsid w:val="00052AFE"/>
    <w:rsid w:val="00052D60"/>
    <w:rsid w:val="000530C9"/>
    <w:rsid w:val="00053912"/>
    <w:rsid w:val="000556D2"/>
    <w:rsid w:val="0005618C"/>
    <w:rsid w:val="00056332"/>
    <w:rsid w:val="000566FB"/>
    <w:rsid w:val="0005678F"/>
    <w:rsid w:val="000572D7"/>
    <w:rsid w:val="00060A60"/>
    <w:rsid w:val="000619A6"/>
    <w:rsid w:val="000621D9"/>
    <w:rsid w:val="00063CC2"/>
    <w:rsid w:val="00064005"/>
    <w:rsid w:val="00064A0F"/>
    <w:rsid w:val="000650CC"/>
    <w:rsid w:val="00065220"/>
    <w:rsid w:val="000654E1"/>
    <w:rsid w:val="0006659B"/>
    <w:rsid w:val="000672D3"/>
    <w:rsid w:val="0006784C"/>
    <w:rsid w:val="00067FAF"/>
    <w:rsid w:val="00067FF9"/>
    <w:rsid w:val="000700FF"/>
    <w:rsid w:val="00071189"/>
    <w:rsid w:val="0007118C"/>
    <w:rsid w:val="00073247"/>
    <w:rsid w:val="0007426F"/>
    <w:rsid w:val="0007471B"/>
    <w:rsid w:val="00074A3D"/>
    <w:rsid w:val="00075455"/>
    <w:rsid w:val="00075F37"/>
    <w:rsid w:val="00076EBD"/>
    <w:rsid w:val="000775AE"/>
    <w:rsid w:val="0007771D"/>
    <w:rsid w:val="00080168"/>
    <w:rsid w:val="0008050C"/>
    <w:rsid w:val="00080663"/>
    <w:rsid w:val="00080DC9"/>
    <w:rsid w:val="000814CC"/>
    <w:rsid w:val="000819F2"/>
    <w:rsid w:val="00082A7A"/>
    <w:rsid w:val="00083992"/>
    <w:rsid w:val="00083C59"/>
    <w:rsid w:val="00084D9F"/>
    <w:rsid w:val="00085E2D"/>
    <w:rsid w:val="00085E7E"/>
    <w:rsid w:val="00086A59"/>
    <w:rsid w:val="00092279"/>
    <w:rsid w:val="00092EE1"/>
    <w:rsid w:val="000935A8"/>
    <w:rsid w:val="00093FF9"/>
    <w:rsid w:val="00094173"/>
    <w:rsid w:val="00094214"/>
    <w:rsid w:val="00094A2A"/>
    <w:rsid w:val="000958F9"/>
    <w:rsid w:val="00097ABD"/>
    <w:rsid w:val="000A131E"/>
    <w:rsid w:val="000A2A81"/>
    <w:rsid w:val="000A2D48"/>
    <w:rsid w:val="000A3B64"/>
    <w:rsid w:val="000A4C87"/>
    <w:rsid w:val="000A50FA"/>
    <w:rsid w:val="000A585B"/>
    <w:rsid w:val="000A6C03"/>
    <w:rsid w:val="000A7BAB"/>
    <w:rsid w:val="000B1C1E"/>
    <w:rsid w:val="000B26FE"/>
    <w:rsid w:val="000B2C58"/>
    <w:rsid w:val="000B345D"/>
    <w:rsid w:val="000B3ED2"/>
    <w:rsid w:val="000B3F66"/>
    <w:rsid w:val="000B424B"/>
    <w:rsid w:val="000B4E2A"/>
    <w:rsid w:val="000B5BE0"/>
    <w:rsid w:val="000B6CCD"/>
    <w:rsid w:val="000B7498"/>
    <w:rsid w:val="000B7C2D"/>
    <w:rsid w:val="000C00D1"/>
    <w:rsid w:val="000C0139"/>
    <w:rsid w:val="000C0588"/>
    <w:rsid w:val="000C1935"/>
    <w:rsid w:val="000C1AB6"/>
    <w:rsid w:val="000C1FB6"/>
    <w:rsid w:val="000C27B9"/>
    <w:rsid w:val="000C2AED"/>
    <w:rsid w:val="000C2C22"/>
    <w:rsid w:val="000C379E"/>
    <w:rsid w:val="000C4368"/>
    <w:rsid w:val="000C52C4"/>
    <w:rsid w:val="000C5395"/>
    <w:rsid w:val="000C58E3"/>
    <w:rsid w:val="000D0318"/>
    <w:rsid w:val="000D078C"/>
    <w:rsid w:val="000D1FDB"/>
    <w:rsid w:val="000D26C5"/>
    <w:rsid w:val="000D3057"/>
    <w:rsid w:val="000D3AA8"/>
    <w:rsid w:val="000D47B2"/>
    <w:rsid w:val="000D6A21"/>
    <w:rsid w:val="000E0CD8"/>
    <w:rsid w:val="000E0F9B"/>
    <w:rsid w:val="000E130C"/>
    <w:rsid w:val="000E1E58"/>
    <w:rsid w:val="000E2182"/>
    <w:rsid w:val="000E2F8C"/>
    <w:rsid w:val="000E3C59"/>
    <w:rsid w:val="000E43FC"/>
    <w:rsid w:val="000E690C"/>
    <w:rsid w:val="000E6DE0"/>
    <w:rsid w:val="000F02F4"/>
    <w:rsid w:val="000F0347"/>
    <w:rsid w:val="000F1140"/>
    <w:rsid w:val="000F1B96"/>
    <w:rsid w:val="000F25BE"/>
    <w:rsid w:val="000F5177"/>
    <w:rsid w:val="000F72D7"/>
    <w:rsid w:val="000F77FA"/>
    <w:rsid w:val="000F7946"/>
    <w:rsid w:val="001076B0"/>
    <w:rsid w:val="00107D28"/>
    <w:rsid w:val="00110EF9"/>
    <w:rsid w:val="00110F2D"/>
    <w:rsid w:val="001115A6"/>
    <w:rsid w:val="00111A7A"/>
    <w:rsid w:val="00111CBB"/>
    <w:rsid w:val="001128F1"/>
    <w:rsid w:val="00112AC6"/>
    <w:rsid w:val="00112F0C"/>
    <w:rsid w:val="00113055"/>
    <w:rsid w:val="00113139"/>
    <w:rsid w:val="001134A2"/>
    <w:rsid w:val="0011383E"/>
    <w:rsid w:val="00114053"/>
    <w:rsid w:val="001147E8"/>
    <w:rsid w:val="00116A7C"/>
    <w:rsid w:val="00116E94"/>
    <w:rsid w:val="00120181"/>
    <w:rsid w:val="0012048D"/>
    <w:rsid w:val="00120AAA"/>
    <w:rsid w:val="00120C47"/>
    <w:rsid w:val="0012110C"/>
    <w:rsid w:val="0012202B"/>
    <w:rsid w:val="001235CC"/>
    <w:rsid w:val="0012476A"/>
    <w:rsid w:val="001257BE"/>
    <w:rsid w:val="00125A69"/>
    <w:rsid w:val="001272ED"/>
    <w:rsid w:val="00127901"/>
    <w:rsid w:val="00127E57"/>
    <w:rsid w:val="00127EBA"/>
    <w:rsid w:val="00130EAB"/>
    <w:rsid w:val="00131179"/>
    <w:rsid w:val="00132014"/>
    <w:rsid w:val="00132E83"/>
    <w:rsid w:val="00133EE6"/>
    <w:rsid w:val="00133F0D"/>
    <w:rsid w:val="00134AC8"/>
    <w:rsid w:val="001356C8"/>
    <w:rsid w:val="00135895"/>
    <w:rsid w:val="00135933"/>
    <w:rsid w:val="0013594C"/>
    <w:rsid w:val="00136249"/>
    <w:rsid w:val="00140821"/>
    <w:rsid w:val="00141666"/>
    <w:rsid w:val="0014184C"/>
    <w:rsid w:val="001430A1"/>
    <w:rsid w:val="001439FF"/>
    <w:rsid w:val="00147DFD"/>
    <w:rsid w:val="001504CD"/>
    <w:rsid w:val="00150BD7"/>
    <w:rsid w:val="00152780"/>
    <w:rsid w:val="00152933"/>
    <w:rsid w:val="00152A34"/>
    <w:rsid w:val="00152F50"/>
    <w:rsid w:val="001538AC"/>
    <w:rsid w:val="00154567"/>
    <w:rsid w:val="001549B8"/>
    <w:rsid w:val="00154F4D"/>
    <w:rsid w:val="001564A5"/>
    <w:rsid w:val="001564B6"/>
    <w:rsid w:val="00156C9A"/>
    <w:rsid w:val="00156DA9"/>
    <w:rsid w:val="00161DEA"/>
    <w:rsid w:val="00162403"/>
    <w:rsid w:val="00164F9F"/>
    <w:rsid w:val="0016526C"/>
    <w:rsid w:val="00165924"/>
    <w:rsid w:val="00165E98"/>
    <w:rsid w:val="00165FF7"/>
    <w:rsid w:val="00167EE1"/>
    <w:rsid w:val="00170529"/>
    <w:rsid w:val="0017099D"/>
    <w:rsid w:val="00171AEF"/>
    <w:rsid w:val="00171CA5"/>
    <w:rsid w:val="00172001"/>
    <w:rsid w:val="00175B5C"/>
    <w:rsid w:val="00180311"/>
    <w:rsid w:val="001806CB"/>
    <w:rsid w:val="001812DA"/>
    <w:rsid w:val="00181353"/>
    <w:rsid w:val="001816A7"/>
    <w:rsid w:val="00182034"/>
    <w:rsid w:val="00182701"/>
    <w:rsid w:val="00182F14"/>
    <w:rsid w:val="0018309F"/>
    <w:rsid w:val="0018352F"/>
    <w:rsid w:val="00183BB9"/>
    <w:rsid w:val="0018461F"/>
    <w:rsid w:val="00185284"/>
    <w:rsid w:val="0018630A"/>
    <w:rsid w:val="00186BB8"/>
    <w:rsid w:val="00186ED5"/>
    <w:rsid w:val="00187868"/>
    <w:rsid w:val="00190609"/>
    <w:rsid w:val="0019079D"/>
    <w:rsid w:val="001907EB"/>
    <w:rsid w:val="00190A4D"/>
    <w:rsid w:val="00190D2A"/>
    <w:rsid w:val="00192E91"/>
    <w:rsid w:val="00193015"/>
    <w:rsid w:val="001944AD"/>
    <w:rsid w:val="0019545D"/>
    <w:rsid w:val="00196221"/>
    <w:rsid w:val="0019692F"/>
    <w:rsid w:val="00197E23"/>
    <w:rsid w:val="001A0A0C"/>
    <w:rsid w:val="001A1DAA"/>
    <w:rsid w:val="001A3CB1"/>
    <w:rsid w:val="001A4366"/>
    <w:rsid w:val="001A5BE8"/>
    <w:rsid w:val="001A5E5E"/>
    <w:rsid w:val="001A5F7A"/>
    <w:rsid w:val="001A6353"/>
    <w:rsid w:val="001A673E"/>
    <w:rsid w:val="001A748F"/>
    <w:rsid w:val="001B01F7"/>
    <w:rsid w:val="001B1982"/>
    <w:rsid w:val="001B1C78"/>
    <w:rsid w:val="001B27DA"/>
    <w:rsid w:val="001B341B"/>
    <w:rsid w:val="001B5021"/>
    <w:rsid w:val="001B61A7"/>
    <w:rsid w:val="001B6E7E"/>
    <w:rsid w:val="001C0138"/>
    <w:rsid w:val="001C0416"/>
    <w:rsid w:val="001C0F4C"/>
    <w:rsid w:val="001C1EA7"/>
    <w:rsid w:val="001C385F"/>
    <w:rsid w:val="001C3867"/>
    <w:rsid w:val="001C3D50"/>
    <w:rsid w:val="001C3E2A"/>
    <w:rsid w:val="001C4A45"/>
    <w:rsid w:val="001C4B29"/>
    <w:rsid w:val="001C560C"/>
    <w:rsid w:val="001C56CD"/>
    <w:rsid w:val="001C578C"/>
    <w:rsid w:val="001D0530"/>
    <w:rsid w:val="001D06E8"/>
    <w:rsid w:val="001D15D3"/>
    <w:rsid w:val="001D407D"/>
    <w:rsid w:val="001D4782"/>
    <w:rsid w:val="001D4957"/>
    <w:rsid w:val="001D4E9A"/>
    <w:rsid w:val="001D6524"/>
    <w:rsid w:val="001D68A2"/>
    <w:rsid w:val="001E1A27"/>
    <w:rsid w:val="001E32CD"/>
    <w:rsid w:val="001E41FE"/>
    <w:rsid w:val="001E553F"/>
    <w:rsid w:val="001E5F3F"/>
    <w:rsid w:val="001E6564"/>
    <w:rsid w:val="001E6CBA"/>
    <w:rsid w:val="001E700C"/>
    <w:rsid w:val="001F04E9"/>
    <w:rsid w:val="001F081C"/>
    <w:rsid w:val="001F233C"/>
    <w:rsid w:val="001F30A7"/>
    <w:rsid w:val="001F313F"/>
    <w:rsid w:val="001F5842"/>
    <w:rsid w:val="001F5DEA"/>
    <w:rsid w:val="001F6885"/>
    <w:rsid w:val="001F68C5"/>
    <w:rsid w:val="001F77EC"/>
    <w:rsid w:val="002002B5"/>
    <w:rsid w:val="00200A63"/>
    <w:rsid w:val="00202454"/>
    <w:rsid w:val="00202A5A"/>
    <w:rsid w:val="00203694"/>
    <w:rsid w:val="00203E1E"/>
    <w:rsid w:val="00203F39"/>
    <w:rsid w:val="0020525E"/>
    <w:rsid w:val="0020534C"/>
    <w:rsid w:val="00207DFF"/>
    <w:rsid w:val="002100F1"/>
    <w:rsid w:val="0021017C"/>
    <w:rsid w:val="002116B3"/>
    <w:rsid w:val="00212405"/>
    <w:rsid w:val="00214879"/>
    <w:rsid w:val="002148DA"/>
    <w:rsid w:val="00214D81"/>
    <w:rsid w:val="002161A6"/>
    <w:rsid w:val="00216F69"/>
    <w:rsid w:val="00217CB9"/>
    <w:rsid w:val="00220264"/>
    <w:rsid w:val="002205EE"/>
    <w:rsid w:val="002211CE"/>
    <w:rsid w:val="00222FD8"/>
    <w:rsid w:val="002233BC"/>
    <w:rsid w:val="00224537"/>
    <w:rsid w:val="00224CE0"/>
    <w:rsid w:val="00225D05"/>
    <w:rsid w:val="00226BD1"/>
    <w:rsid w:val="00227B01"/>
    <w:rsid w:val="00231603"/>
    <w:rsid w:val="002318F7"/>
    <w:rsid w:val="002333B6"/>
    <w:rsid w:val="002338CA"/>
    <w:rsid w:val="00234E03"/>
    <w:rsid w:val="00235125"/>
    <w:rsid w:val="00235216"/>
    <w:rsid w:val="00235D2A"/>
    <w:rsid w:val="00235FB7"/>
    <w:rsid w:val="002375DA"/>
    <w:rsid w:val="00244238"/>
    <w:rsid w:val="002463DD"/>
    <w:rsid w:val="002465E4"/>
    <w:rsid w:val="00247752"/>
    <w:rsid w:val="002478A2"/>
    <w:rsid w:val="002478AB"/>
    <w:rsid w:val="00247B43"/>
    <w:rsid w:val="002500AD"/>
    <w:rsid w:val="00250DAC"/>
    <w:rsid w:val="0025144A"/>
    <w:rsid w:val="00251B8F"/>
    <w:rsid w:val="0025316F"/>
    <w:rsid w:val="00255B5B"/>
    <w:rsid w:val="0025602F"/>
    <w:rsid w:val="00256D4B"/>
    <w:rsid w:val="002578BF"/>
    <w:rsid w:val="00257B11"/>
    <w:rsid w:val="00257EF9"/>
    <w:rsid w:val="002603EC"/>
    <w:rsid w:val="00261875"/>
    <w:rsid w:val="00261FC2"/>
    <w:rsid w:val="00264B13"/>
    <w:rsid w:val="00265397"/>
    <w:rsid w:val="002653F7"/>
    <w:rsid w:val="00265420"/>
    <w:rsid w:val="002656C4"/>
    <w:rsid w:val="00265DC4"/>
    <w:rsid w:val="002669DA"/>
    <w:rsid w:val="002675FF"/>
    <w:rsid w:val="00267651"/>
    <w:rsid w:val="00267FA0"/>
    <w:rsid w:val="002713FC"/>
    <w:rsid w:val="002719BF"/>
    <w:rsid w:val="00271A67"/>
    <w:rsid w:val="00272AC6"/>
    <w:rsid w:val="00273040"/>
    <w:rsid w:val="00273BD0"/>
    <w:rsid w:val="00274307"/>
    <w:rsid w:val="00274A26"/>
    <w:rsid w:val="00274DB6"/>
    <w:rsid w:val="00274E9E"/>
    <w:rsid w:val="00275300"/>
    <w:rsid w:val="0027532C"/>
    <w:rsid w:val="00275359"/>
    <w:rsid w:val="00275800"/>
    <w:rsid w:val="00275E5E"/>
    <w:rsid w:val="00276699"/>
    <w:rsid w:val="002766AB"/>
    <w:rsid w:val="00276CAF"/>
    <w:rsid w:val="0027765C"/>
    <w:rsid w:val="00280451"/>
    <w:rsid w:val="0028115B"/>
    <w:rsid w:val="002829E8"/>
    <w:rsid w:val="0028366C"/>
    <w:rsid w:val="0028386A"/>
    <w:rsid w:val="0028544F"/>
    <w:rsid w:val="002861D2"/>
    <w:rsid w:val="002874FE"/>
    <w:rsid w:val="00287966"/>
    <w:rsid w:val="00290C78"/>
    <w:rsid w:val="0029192C"/>
    <w:rsid w:val="00292EDF"/>
    <w:rsid w:val="00293704"/>
    <w:rsid w:val="00294626"/>
    <w:rsid w:val="00294A4E"/>
    <w:rsid w:val="00295AE7"/>
    <w:rsid w:val="00296961"/>
    <w:rsid w:val="002971FA"/>
    <w:rsid w:val="00297936"/>
    <w:rsid w:val="002A0B4C"/>
    <w:rsid w:val="002A0EBD"/>
    <w:rsid w:val="002A0FAB"/>
    <w:rsid w:val="002A1AB9"/>
    <w:rsid w:val="002A24C9"/>
    <w:rsid w:val="002A3C2E"/>
    <w:rsid w:val="002A44D4"/>
    <w:rsid w:val="002A4D7D"/>
    <w:rsid w:val="002A5C46"/>
    <w:rsid w:val="002A5C9B"/>
    <w:rsid w:val="002A612F"/>
    <w:rsid w:val="002A62A0"/>
    <w:rsid w:val="002A6FB2"/>
    <w:rsid w:val="002B0221"/>
    <w:rsid w:val="002B0CCF"/>
    <w:rsid w:val="002B15CC"/>
    <w:rsid w:val="002B1F05"/>
    <w:rsid w:val="002B23AA"/>
    <w:rsid w:val="002B2786"/>
    <w:rsid w:val="002B303D"/>
    <w:rsid w:val="002B3C89"/>
    <w:rsid w:val="002B4AA1"/>
    <w:rsid w:val="002B4F51"/>
    <w:rsid w:val="002B68C7"/>
    <w:rsid w:val="002B74F2"/>
    <w:rsid w:val="002B7BB8"/>
    <w:rsid w:val="002C10D0"/>
    <w:rsid w:val="002C1B35"/>
    <w:rsid w:val="002C225B"/>
    <w:rsid w:val="002C2EEB"/>
    <w:rsid w:val="002C4310"/>
    <w:rsid w:val="002C51A2"/>
    <w:rsid w:val="002C559E"/>
    <w:rsid w:val="002C713E"/>
    <w:rsid w:val="002C78FF"/>
    <w:rsid w:val="002D179C"/>
    <w:rsid w:val="002D1AB6"/>
    <w:rsid w:val="002D1ADF"/>
    <w:rsid w:val="002D483C"/>
    <w:rsid w:val="002D516E"/>
    <w:rsid w:val="002D5DAB"/>
    <w:rsid w:val="002D61AB"/>
    <w:rsid w:val="002D69DF"/>
    <w:rsid w:val="002D6C97"/>
    <w:rsid w:val="002E0FC6"/>
    <w:rsid w:val="002E11EA"/>
    <w:rsid w:val="002E156D"/>
    <w:rsid w:val="002E1CD5"/>
    <w:rsid w:val="002E32CA"/>
    <w:rsid w:val="002E37C1"/>
    <w:rsid w:val="002E40BE"/>
    <w:rsid w:val="002E41DB"/>
    <w:rsid w:val="002E448B"/>
    <w:rsid w:val="002E469D"/>
    <w:rsid w:val="002E6470"/>
    <w:rsid w:val="002F0974"/>
    <w:rsid w:val="002F0A50"/>
    <w:rsid w:val="002F0AA3"/>
    <w:rsid w:val="002F0B03"/>
    <w:rsid w:val="002F15F4"/>
    <w:rsid w:val="002F1D1A"/>
    <w:rsid w:val="002F285E"/>
    <w:rsid w:val="002F3CBD"/>
    <w:rsid w:val="002F4337"/>
    <w:rsid w:val="002F44C7"/>
    <w:rsid w:val="002F51F1"/>
    <w:rsid w:val="002F573B"/>
    <w:rsid w:val="002F68E2"/>
    <w:rsid w:val="00301948"/>
    <w:rsid w:val="00302E68"/>
    <w:rsid w:val="00303776"/>
    <w:rsid w:val="0030413C"/>
    <w:rsid w:val="0030418E"/>
    <w:rsid w:val="003041E6"/>
    <w:rsid w:val="00304664"/>
    <w:rsid w:val="00304FDE"/>
    <w:rsid w:val="00306F32"/>
    <w:rsid w:val="003100E3"/>
    <w:rsid w:val="00310B48"/>
    <w:rsid w:val="00311756"/>
    <w:rsid w:val="00314B76"/>
    <w:rsid w:val="00315AE2"/>
    <w:rsid w:val="00316119"/>
    <w:rsid w:val="0031613B"/>
    <w:rsid w:val="003177AE"/>
    <w:rsid w:val="003204B5"/>
    <w:rsid w:val="00320748"/>
    <w:rsid w:val="00320B4E"/>
    <w:rsid w:val="00320E90"/>
    <w:rsid w:val="00322137"/>
    <w:rsid w:val="003226C3"/>
    <w:rsid w:val="003229CE"/>
    <w:rsid w:val="003232B8"/>
    <w:rsid w:val="003233AA"/>
    <w:rsid w:val="00323869"/>
    <w:rsid w:val="0032409E"/>
    <w:rsid w:val="0032456C"/>
    <w:rsid w:val="00324986"/>
    <w:rsid w:val="00325D8F"/>
    <w:rsid w:val="0032638E"/>
    <w:rsid w:val="00326D0C"/>
    <w:rsid w:val="00326DB6"/>
    <w:rsid w:val="003273EE"/>
    <w:rsid w:val="003300EE"/>
    <w:rsid w:val="00330666"/>
    <w:rsid w:val="00330FE7"/>
    <w:rsid w:val="003315A1"/>
    <w:rsid w:val="00331A05"/>
    <w:rsid w:val="00331BEE"/>
    <w:rsid w:val="00331C36"/>
    <w:rsid w:val="003320B4"/>
    <w:rsid w:val="003326A1"/>
    <w:rsid w:val="00332F62"/>
    <w:rsid w:val="003331A9"/>
    <w:rsid w:val="003343FE"/>
    <w:rsid w:val="0033632F"/>
    <w:rsid w:val="0033695E"/>
    <w:rsid w:val="00336BD2"/>
    <w:rsid w:val="00337EA3"/>
    <w:rsid w:val="00337FAD"/>
    <w:rsid w:val="00341895"/>
    <w:rsid w:val="0034210C"/>
    <w:rsid w:val="00343B9A"/>
    <w:rsid w:val="0034406F"/>
    <w:rsid w:val="00344089"/>
    <w:rsid w:val="003447B8"/>
    <w:rsid w:val="0034534F"/>
    <w:rsid w:val="003461D4"/>
    <w:rsid w:val="00346CC3"/>
    <w:rsid w:val="00346D1D"/>
    <w:rsid w:val="00346F2E"/>
    <w:rsid w:val="00350D70"/>
    <w:rsid w:val="003520FA"/>
    <w:rsid w:val="00353079"/>
    <w:rsid w:val="00353AF7"/>
    <w:rsid w:val="003553FB"/>
    <w:rsid w:val="003559C7"/>
    <w:rsid w:val="00355BEE"/>
    <w:rsid w:val="0035607A"/>
    <w:rsid w:val="003560D8"/>
    <w:rsid w:val="00356A73"/>
    <w:rsid w:val="00356DFE"/>
    <w:rsid w:val="00357554"/>
    <w:rsid w:val="003578FD"/>
    <w:rsid w:val="00361DCC"/>
    <w:rsid w:val="0036318D"/>
    <w:rsid w:val="00364050"/>
    <w:rsid w:val="003647A6"/>
    <w:rsid w:val="00364B5B"/>
    <w:rsid w:val="00365908"/>
    <w:rsid w:val="00365D1A"/>
    <w:rsid w:val="003670FC"/>
    <w:rsid w:val="0037055F"/>
    <w:rsid w:val="003720C0"/>
    <w:rsid w:val="00372BB3"/>
    <w:rsid w:val="00372BDE"/>
    <w:rsid w:val="003742AD"/>
    <w:rsid w:val="00374B46"/>
    <w:rsid w:val="00375393"/>
    <w:rsid w:val="0037555C"/>
    <w:rsid w:val="0037576C"/>
    <w:rsid w:val="003778AB"/>
    <w:rsid w:val="00380C15"/>
    <w:rsid w:val="003813D3"/>
    <w:rsid w:val="00381541"/>
    <w:rsid w:val="00381824"/>
    <w:rsid w:val="003841BA"/>
    <w:rsid w:val="00384433"/>
    <w:rsid w:val="003847FF"/>
    <w:rsid w:val="003853D4"/>
    <w:rsid w:val="003859E9"/>
    <w:rsid w:val="0038676B"/>
    <w:rsid w:val="003868CF"/>
    <w:rsid w:val="003907CA"/>
    <w:rsid w:val="00391188"/>
    <w:rsid w:val="00391297"/>
    <w:rsid w:val="003914AE"/>
    <w:rsid w:val="0039184F"/>
    <w:rsid w:val="00391DAD"/>
    <w:rsid w:val="00393438"/>
    <w:rsid w:val="00393451"/>
    <w:rsid w:val="003948FB"/>
    <w:rsid w:val="00394DA9"/>
    <w:rsid w:val="00396AAD"/>
    <w:rsid w:val="00396E57"/>
    <w:rsid w:val="003970C0"/>
    <w:rsid w:val="00397A38"/>
    <w:rsid w:val="003A023E"/>
    <w:rsid w:val="003A02F1"/>
    <w:rsid w:val="003A1EAD"/>
    <w:rsid w:val="003A3544"/>
    <w:rsid w:val="003A356F"/>
    <w:rsid w:val="003A372C"/>
    <w:rsid w:val="003A3EE1"/>
    <w:rsid w:val="003A50C9"/>
    <w:rsid w:val="003A54EE"/>
    <w:rsid w:val="003A6EBB"/>
    <w:rsid w:val="003B20F7"/>
    <w:rsid w:val="003B2355"/>
    <w:rsid w:val="003B2787"/>
    <w:rsid w:val="003B2CA8"/>
    <w:rsid w:val="003B2ED8"/>
    <w:rsid w:val="003B3D34"/>
    <w:rsid w:val="003B56E8"/>
    <w:rsid w:val="003B7717"/>
    <w:rsid w:val="003B7DE1"/>
    <w:rsid w:val="003C0D61"/>
    <w:rsid w:val="003C1F3E"/>
    <w:rsid w:val="003C2892"/>
    <w:rsid w:val="003C4420"/>
    <w:rsid w:val="003C4745"/>
    <w:rsid w:val="003C4B9B"/>
    <w:rsid w:val="003C51A4"/>
    <w:rsid w:val="003C65D9"/>
    <w:rsid w:val="003C6DE4"/>
    <w:rsid w:val="003D0E5F"/>
    <w:rsid w:val="003D1208"/>
    <w:rsid w:val="003D3D1E"/>
    <w:rsid w:val="003D4A8C"/>
    <w:rsid w:val="003D545B"/>
    <w:rsid w:val="003D5690"/>
    <w:rsid w:val="003D58CD"/>
    <w:rsid w:val="003D6029"/>
    <w:rsid w:val="003D66B0"/>
    <w:rsid w:val="003D69C3"/>
    <w:rsid w:val="003E2DB5"/>
    <w:rsid w:val="003E2FFC"/>
    <w:rsid w:val="003E329A"/>
    <w:rsid w:val="003E459C"/>
    <w:rsid w:val="003E4EB3"/>
    <w:rsid w:val="003E5217"/>
    <w:rsid w:val="003E5B2D"/>
    <w:rsid w:val="003E6048"/>
    <w:rsid w:val="003E6312"/>
    <w:rsid w:val="003E6632"/>
    <w:rsid w:val="003E7560"/>
    <w:rsid w:val="003E7ABA"/>
    <w:rsid w:val="003E7C43"/>
    <w:rsid w:val="003E7F04"/>
    <w:rsid w:val="003F16F7"/>
    <w:rsid w:val="003F19F0"/>
    <w:rsid w:val="003F2028"/>
    <w:rsid w:val="003F3D73"/>
    <w:rsid w:val="003F3FB4"/>
    <w:rsid w:val="003F62FC"/>
    <w:rsid w:val="003F6560"/>
    <w:rsid w:val="00400D10"/>
    <w:rsid w:val="004022FE"/>
    <w:rsid w:val="00402468"/>
    <w:rsid w:val="00402B3B"/>
    <w:rsid w:val="004033FB"/>
    <w:rsid w:val="0040362C"/>
    <w:rsid w:val="00403951"/>
    <w:rsid w:val="00403988"/>
    <w:rsid w:val="00404CCC"/>
    <w:rsid w:val="00404E29"/>
    <w:rsid w:val="00405C6A"/>
    <w:rsid w:val="004062EA"/>
    <w:rsid w:val="00406470"/>
    <w:rsid w:val="004074FE"/>
    <w:rsid w:val="00407C76"/>
    <w:rsid w:val="004104B3"/>
    <w:rsid w:val="0041144F"/>
    <w:rsid w:val="00412194"/>
    <w:rsid w:val="004128E6"/>
    <w:rsid w:val="00412A0F"/>
    <w:rsid w:val="00412A23"/>
    <w:rsid w:val="00414356"/>
    <w:rsid w:val="00414BBC"/>
    <w:rsid w:val="00415781"/>
    <w:rsid w:val="00415C64"/>
    <w:rsid w:val="00420216"/>
    <w:rsid w:val="00420494"/>
    <w:rsid w:val="004204C9"/>
    <w:rsid w:val="00420B0D"/>
    <w:rsid w:val="00420B96"/>
    <w:rsid w:val="0042189F"/>
    <w:rsid w:val="00421A30"/>
    <w:rsid w:val="00423D3B"/>
    <w:rsid w:val="004264C9"/>
    <w:rsid w:val="00426D40"/>
    <w:rsid w:val="0042759E"/>
    <w:rsid w:val="00430497"/>
    <w:rsid w:val="004322BF"/>
    <w:rsid w:val="004330F8"/>
    <w:rsid w:val="00434190"/>
    <w:rsid w:val="00435537"/>
    <w:rsid w:val="0043568B"/>
    <w:rsid w:val="00435F1A"/>
    <w:rsid w:val="004361D6"/>
    <w:rsid w:val="00436293"/>
    <w:rsid w:val="0043634A"/>
    <w:rsid w:val="00436EC1"/>
    <w:rsid w:val="00437338"/>
    <w:rsid w:val="004377F4"/>
    <w:rsid w:val="00442240"/>
    <w:rsid w:val="00443687"/>
    <w:rsid w:val="00446F6D"/>
    <w:rsid w:val="00447F3E"/>
    <w:rsid w:val="00450080"/>
    <w:rsid w:val="004504EA"/>
    <w:rsid w:val="0045149C"/>
    <w:rsid w:val="00451E97"/>
    <w:rsid w:val="00454487"/>
    <w:rsid w:val="0045492A"/>
    <w:rsid w:val="004551DD"/>
    <w:rsid w:val="00455F17"/>
    <w:rsid w:val="00456887"/>
    <w:rsid w:val="0045749C"/>
    <w:rsid w:val="00461B0F"/>
    <w:rsid w:val="00462036"/>
    <w:rsid w:val="00462256"/>
    <w:rsid w:val="004636EE"/>
    <w:rsid w:val="004638A7"/>
    <w:rsid w:val="00463DD6"/>
    <w:rsid w:val="00464C0C"/>
    <w:rsid w:val="004651B1"/>
    <w:rsid w:val="00465B7E"/>
    <w:rsid w:val="00465E93"/>
    <w:rsid w:val="00467711"/>
    <w:rsid w:val="00467765"/>
    <w:rsid w:val="00470E95"/>
    <w:rsid w:val="0047185D"/>
    <w:rsid w:val="00471F25"/>
    <w:rsid w:val="004727ED"/>
    <w:rsid w:val="00472EC1"/>
    <w:rsid w:val="00472FDE"/>
    <w:rsid w:val="0047305F"/>
    <w:rsid w:val="00473439"/>
    <w:rsid w:val="00474415"/>
    <w:rsid w:val="0047524C"/>
    <w:rsid w:val="004758D9"/>
    <w:rsid w:val="00476764"/>
    <w:rsid w:val="0047752F"/>
    <w:rsid w:val="00477813"/>
    <w:rsid w:val="00480086"/>
    <w:rsid w:val="004800EC"/>
    <w:rsid w:val="00480E34"/>
    <w:rsid w:val="0048139C"/>
    <w:rsid w:val="00484697"/>
    <w:rsid w:val="00485810"/>
    <w:rsid w:val="004858CF"/>
    <w:rsid w:val="00485C2B"/>
    <w:rsid w:val="00485D05"/>
    <w:rsid w:val="004865F6"/>
    <w:rsid w:val="00487622"/>
    <w:rsid w:val="004878E7"/>
    <w:rsid w:val="00487DAB"/>
    <w:rsid w:val="00490682"/>
    <w:rsid w:val="00490A58"/>
    <w:rsid w:val="004912BF"/>
    <w:rsid w:val="0049144D"/>
    <w:rsid w:val="004915F8"/>
    <w:rsid w:val="00492D89"/>
    <w:rsid w:val="0049350C"/>
    <w:rsid w:val="00494732"/>
    <w:rsid w:val="00494A15"/>
    <w:rsid w:val="0049533D"/>
    <w:rsid w:val="00495640"/>
    <w:rsid w:val="004961F9"/>
    <w:rsid w:val="00497085"/>
    <w:rsid w:val="0049722C"/>
    <w:rsid w:val="004A097D"/>
    <w:rsid w:val="004A0BC8"/>
    <w:rsid w:val="004A18E3"/>
    <w:rsid w:val="004A18F7"/>
    <w:rsid w:val="004A2386"/>
    <w:rsid w:val="004A2ABC"/>
    <w:rsid w:val="004A2CF5"/>
    <w:rsid w:val="004A311A"/>
    <w:rsid w:val="004A3264"/>
    <w:rsid w:val="004A3A9A"/>
    <w:rsid w:val="004A3DDB"/>
    <w:rsid w:val="004A44C1"/>
    <w:rsid w:val="004A50F5"/>
    <w:rsid w:val="004A5CFE"/>
    <w:rsid w:val="004A6461"/>
    <w:rsid w:val="004A6B44"/>
    <w:rsid w:val="004A728E"/>
    <w:rsid w:val="004B0E77"/>
    <w:rsid w:val="004B15E0"/>
    <w:rsid w:val="004B1C74"/>
    <w:rsid w:val="004B25B1"/>
    <w:rsid w:val="004B2954"/>
    <w:rsid w:val="004B44F7"/>
    <w:rsid w:val="004B5E3E"/>
    <w:rsid w:val="004B5F9D"/>
    <w:rsid w:val="004B6439"/>
    <w:rsid w:val="004B7267"/>
    <w:rsid w:val="004B7BA7"/>
    <w:rsid w:val="004B7FB2"/>
    <w:rsid w:val="004C0196"/>
    <w:rsid w:val="004C02A8"/>
    <w:rsid w:val="004C0D26"/>
    <w:rsid w:val="004C18C6"/>
    <w:rsid w:val="004C1C15"/>
    <w:rsid w:val="004C2906"/>
    <w:rsid w:val="004C5CBB"/>
    <w:rsid w:val="004C6319"/>
    <w:rsid w:val="004C6C94"/>
    <w:rsid w:val="004D0421"/>
    <w:rsid w:val="004D1277"/>
    <w:rsid w:val="004D1CF3"/>
    <w:rsid w:val="004D2B7D"/>
    <w:rsid w:val="004D2D3E"/>
    <w:rsid w:val="004D3259"/>
    <w:rsid w:val="004D34B1"/>
    <w:rsid w:val="004D428B"/>
    <w:rsid w:val="004D4D0C"/>
    <w:rsid w:val="004D4EA7"/>
    <w:rsid w:val="004D5365"/>
    <w:rsid w:val="004D5408"/>
    <w:rsid w:val="004D5AD1"/>
    <w:rsid w:val="004D77ED"/>
    <w:rsid w:val="004D77F2"/>
    <w:rsid w:val="004D792C"/>
    <w:rsid w:val="004E05F8"/>
    <w:rsid w:val="004E0BBE"/>
    <w:rsid w:val="004E0E43"/>
    <w:rsid w:val="004E1B3F"/>
    <w:rsid w:val="004E2381"/>
    <w:rsid w:val="004E2D37"/>
    <w:rsid w:val="004E3448"/>
    <w:rsid w:val="004E3AA2"/>
    <w:rsid w:val="004E500A"/>
    <w:rsid w:val="004E557A"/>
    <w:rsid w:val="004E5737"/>
    <w:rsid w:val="004E7593"/>
    <w:rsid w:val="004E7A2D"/>
    <w:rsid w:val="004E7B37"/>
    <w:rsid w:val="004E7DB8"/>
    <w:rsid w:val="004F0F72"/>
    <w:rsid w:val="004F0FA1"/>
    <w:rsid w:val="004F0FEB"/>
    <w:rsid w:val="004F1827"/>
    <w:rsid w:val="004F4052"/>
    <w:rsid w:val="004F47B9"/>
    <w:rsid w:val="004F4B59"/>
    <w:rsid w:val="004F569D"/>
    <w:rsid w:val="004F582C"/>
    <w:rsid w:val="004F5A2A"/>
    <w:rsid w:val="004F5D7D"/>
    <w:rsid w:val="004F6491"/>
    <w:rsid w:val="004F776A"/>
    <w:rsid w:val="004F7AC2"/>
    <w:rsid w:val="00500E5A"/>
    <w:rsid w:val="005010F2"/>
    <w:rsid w:val="00501ABE"/>
    <w:rsid w:val="00502289"/>
    <w:rsid w:val="005027D9"/>
    <w:rsid w:val="00502931"/>
    <w:rsid w:val="00502CD2"/>
    <w:rsid w:val="0050420D"/>
    <w:rsid w:val="005059C5"/>
    <w:rsid w:val="005074EC"/>
    <w:rsid w:val="00507C59"/>
    <w:rsid w:val="00510FF2"/>
    <w:rsid w:val="005116FC"/>
    <w:rsid w:val="00512633"/>
    <w:rsid w:val="005135C5"/>
    <w:rsid w:val="00513E70"/>
    <w:rsid w:val="005144FB"/>
    <w:rsid w:val="00514FEE"/>
    <w:rsid w:val="0051565B"/>
    <w:rsid w:val="0051644F"/>
    <w:rsid w:val="00516774"/>
    <w:rsid w:val="00517AA6"/>
    <w:rsid w:val="00517B47"/>
    <w:rsid w:val="00517BCE"/>
    <w:rsid w:val="00520B43"/>
    <w:rsid w:val="00521402"/>
    <w:rsid w:val="00521D5B"/>
    <w:rsid w:val="00522437"/>
    <w:rsid w:val="00522AEF"/>
    <w:rsid w:val="00523279"/>
    <w:rsid w:val="005234EF"/>
    <w:rsid w:val="00523D8D"/>
    <w:rsid w:val="005241EF"/>
    <w:rsid w:val="0052491D"/>
    <w:rsid w:val="00524A59"/>
    <w:rsid w:val="00525540"/>
    <w:rsid w:val="005255C8"/>
    <w:rsid w:val="005256FB"/>
    <w:rsid w:val="0052688F"/>
    <w:rsid w:val="00526979"/>
    <w:rsid w:val="005279F7"/>
    <w:rsid w:val="005307CF"/>
    <w:rsid w:val="00530D3A"/>
    <w:rsid w:val="005320F0"/>
    <w:rsid w:val="005322A5"/>
    <w:rsid w:val="0053284D"/>
    <w:rsid w:val="00532C4D"/>
    <w:rsid w:val="00532D9B"/>
    <w:rsid w:val="00533060"/>
    <w:rsid w:val="005361EB"/>
    <w:rsid w:val="005367EA"/>
    <w:rsid w:val="00537118"/>
    <w:rsid w:val="00537FD9"/>
    <w:rsid w:val="0054049E"/>
    <w:rsid w:val="00540BF3"/>
    <w:rsid w:val="005410E0"/>
    <w:rsid w:val="00541BD5"/>
    <w:rsid w:val="00541F15"/>
    <w:rsid w:val="0054266C"/>
    <w:rsid w:val="00542780"/>
    <w:rsid w:val="00542C54"/>
    <w:rsid w:val="00544698"/>
    <w:rsid w:val="00544BD6"/>
    <w:rsid w:val="005457DA"/>
    <w:rsid w:val="00546A39"/>
    <w:rsid w:val="00547252"/>
    <w:rsid w:val="00547377"/>
    <w:rsid w:val="0055009E"/>
    <w:rsid w:val="00554E0E"/>
    <w:rsid w:val="00555088"/>
    <w:rsid w:val="005555EE"/>
    <w:rsid w:val="00556BA8"/>
    <w:rsid w:val="0055734E"/>
    <w:rsid w:val="005575C0"/>
    <w:rsid w:val="00557C57"/>
    <w:rsid w:val="00560497"/>
    <w:rsid w:val="0056199F"/>
    <w:rsid w:val="00561B76"/>
    <w:rsid w:val="00562B2A"/>
    <w:rsid w:val="005632BF"/>
    <w:rsid w:val="0056421B"/>
    <w:rsid w:val="005643CD"/>
    <w:rsid w:val="00565077"/>
    <w:rsid w:val="005652A1"/>
    <w:rsid w:val="00565B28"/>
    <w:rsid w:val="005666FC"/>
    <w:rsid w:val="00567360"/>
    <w:rsid w:val="005673DA"/>
    <w:rsid w:val="005709C6"/>
    <w:rsid w:val="005709FF"/>
    <w:rsid w:val="00571757"/>
    <w:rsid w:val="00571C44"/>
    <w:rsid w:val="00571CDC"/>
    <w:rsid w:val="005725E8"/>
    <w:rsid w:val="00573A19"/>
    <w:rsid w:val="00574542"/>
    <w:rsid w:val="005758BF"/>
    <w:rsid w:val="0057792C"/>
    <w:rsid w:val="0058022B"/>
    <w:rsid w:val="00580A50"/>
    <w:rsid w:val="00580CA5"/>
    <w:rsid w:val="00580E44"/>
    <w:rsid w:val="00582023"/>
    <w:rsid w:val="0058226C"/>
    <w:rsid w:val="005825A2"/>
    <w:rsid w:val="00582962"/>
    <w:rsid w:val="005834D9"/>
    <w:rsid w:val="00584510"/>
    <w:rsid w:val="00584A7C"/>
    <w:rsid w:val="00584C4E"/>
    <w:rsid w:val="00584DBD"/>
    <w:rsid w:val="00584E75"/>
    <w:rsid w:val="00585666"/>
    <w:rsid w:val="00585700"/>
    <w:rsid w:val="00586DCA"/>
    <w:rsid w:val="0058726A"/>
    <w:rsid w:val="00587F06"/>
    <w:rsid w:val="00587FA6"/>
    <w:rsid w:val="00590F07"/>
    <w:rsid w:val="00591D3F"/>
    <w:rsid w:val="0059593C"/>
    <w:rsid w:val="00595EAC"/>
    <w:rsid w:val="00595FCA"/>
    <w:rsid w:val="00596D9C"/>
    <w:rsid w:val="00597846"/>
    <w:rsid w:val="005A06F2"/>
    <w:rsid w:val="005A3965"/>
    <w:rsid w:val="005A406C"/>
    <w:rsid w:val="005A5B8C"/>
    <w:rsid w:val="005A6EF8"/>
    <w:rsid w:val="005B1DD1"/>
    <w:rsid w:val="005B1F49"/>
    <w:rsid w:val="005B3532"/>
    <w:rsid w:val="005B4291"/>
    <w:rsid w:val="005B4AAF"/>
    <w:rsid w:val="005B4D60"/>
    <w:rsid w:val="005B52FF"/>
    <w:rsid w:val="005B5D9E"/>
    <w:rsid w:val="005B5E8D"/>
    <w:rsid w:val="005B69C5"/>
    <w:rsid w:val="005B732E"/>
    <w:rsid w:val="005B733E"/>
    <w:rsid w:val="005B7C40"/>
    <w:rsid w:val="005B7EF5"/>
    <w:rsid w:val="005C0E46"/>
    <w:rsid w:val="005C1020"/>
    <w:rsid w:val="005C1027"/>
    <w:rsid w:val="005C379D"/>
    <w:rsid w:val="005C392C"/>
    <w:rsid w:val="005C3BF9"/>
    <w:rsid w:val="005C46DC"/>
    <w:rsid w:val="005C4D05"/>
    <w:rsid w:val="005C4F08"/>
    <w:rsid w:val="005C5DB0"/>
    <w:rsid w:val="005C66B3"/>
    <w:rsid w:val="005C70D1"/>
    <w:rsid w:val="005C77C4"/>
    <w:rsid w:val="005C79C8"/>
    <w:rsid w:val="005C7BA8"/>
    <w:rsid w:val="005C7D17"/>
    <w:rsid w:val="005D0424"/>
    <w:rsid w:val="005D05FF"/>
    <w:rsid w:val="005D1113"/>
    <w:rsid w:val="005D12AA"/>
    <w:rsid w:val="005D1C81"/>
    <w:rsid w:val="005D22D0"/>
    <w:rsid w:val="005D29D4"/>
    <w:rsid w:val="005D324A"/>
    <w:rsid w:val="005D42DE"/>
    <w:rsid w:val="005D447B"/>
    <w:rsid w:val="005D4E21"/>
    <w:rsid w:val="005D5BDE"/>
    <w:rsid w:val="005D632F"/>
    <w:rsid w:val="005E08A9"/>
    <w:rsid w:val="005E20D2"/>
    <w:rsid w:val="005E23BD"/>
    <w:rsid w:val="005E293B"/>
    <w:rsid w:val="005E2AE4"/>
    <w:rsid w:val="005E2FCB"/>
    <w:rsid w:val="005E308D"/>
    <w:rsid w:val="005E3888"/>
    <w:rsid w:val="005E4E15"/>
    <w:rsid w:val="005E5192"/>
    <w:rsid w:val="005E5DC3"/>
    <w:rsid w:val="005E6F13"/>
    <w:rsid w:val="005E7B29"/>
    <w:rsid w:val="005F0D9C"/>
    <w:rsid w:val="005F0FC9"/>
    <w:rsid w:val="005F2460"/>
    <w:rsid w:val="005F24D1"/>
    <w:rsid w:val="005F2A1A"/>
    <w:rsid w:val="005F3417"/>
    <w:rsid w:val="005F4BCC"/>
    <w:rsid w:val="005F69ED"/>
    <w:rsid w:val="005F70B0"/>
    <w:rsid w:val="005F745C"/>
    <w:rsid w:val="005F7BF4"/>
    <w:rsid w:val="005F7EF6"/>
    <w:rsid w:val="006001A9"/>
    <w:rsid w:val="00600683"/>
    <w:rsid w:val="0060088E"/>
    <w:rsid w:val="006013A4"/>
    <w:rsid w:val="0060195B"/>
    <w:rsid w:val="00601D3C"/>
    <w:rsid w:val="00604413"/>
    <w:rsid w:val="00605076"/>
    <w:rsid w:val="00606AF1"/>
    <w:rsid w:val="00606CB2"/>
    <w:rsid w:val="00607F09"/>
    <w:rsid w:val="00610DB4"/>
    <w:rsid w:val="00610FBF"/>
    <w:rsid w:val="006115E8"/>
    <w:rsid w:val="0061171E"/>
    <w:rsid w:val="00611B00"/>
    <w:rsid w:val="00611D1C"/>
    <w:rsid w:val="0061428C"/>
    <w:rsid w:val="00614388"/>
    <w:rsid w:val="00614D5D"/>
    <w:rsid w:val="00615B55"/>
    <w:rsid w:val="00616103"/>
    <w:rsid w:val="00616549"/>
    <w:rsid w:val="00617C19"/>
    <w:rsid w:val="00620103"/>
    <w:rsid w:val="006204E7"/>
    <w:rsid w:val="00620536"/>
    <w:rsid w:val="006207FE"/>
    <w:rsid w:val="00620A0E"/>
    <w:rsid w:val="006228F3"/>
    <w:rsid w:val="00624831"/>
    <w:rsid w:val="00626078"/>
    <w:rsid w:val="00626089"/>
    <w:rsid w:val="00626E3B"/>
    <w:rsid w:val="0062728A"/>
    <w:rsid w:val="00627A2A"/>
    <w:rsid w:val="00627EFE"/>
    <w:rsid w:val="006301AD"/>
    <w:rsid w:val="00630CC2"/>
    <w:rsid w:val="006310B2"/>
    <w:rsid w:val="0063247F"/>
    <w:rsid w:val="0063301D"/>
    <w:rsid w:val="00634417"/>
    <w:rsid w:val="0063455C"/>
    <w:rsid w:val="006349C8"/>
    <w:rsid w:val="00637A9B"/>
    <w:rsid w:val="006400B3"/>
    <w:rsid w:val="00640A76"/>
    <w:rsid w:val="00641296"/>
    <w:rsid w:val="00645382"/>
    <w:rsid w:val="00645663"/>
    <w:rsid w:val="00651923"/>
    <w:rsid w:val="00651FE1"/>
    <w:rsid w:val="006530AC"/>
    <w:rsid w:val="00653496"/>
    <w:rsid w:val="00654491"/>
    <w:rsid w:val="00654BDC"/>
    <w:rsid w:val="006551D6"/>
    <w:rsid w:val="00655392"/>
    <w:rsid w:val="006555A8"/>
    <w:rsid w:val="00655D10"/>
    <w:rsid w:val="00656874"/>
    <w:rsid w:val="00660F19"/>
    <w:rsid w:val="0066112B"/>
    <w:rsid w:val="00661210"/>
    <w:rsid w:val="006615A4"/>
    <w:rsid w:val="0066176C"/>
    <w:rsid w:val="00662773"/>
    <w:rsid w:val="006630F7"/>
    <w:rsid w:val="0066329B"/>
    <w:rsid w:val="0066330C"/>
    <w:rsid w:val="006635C5"/>
    <w:rsid w:val="00663647"/>
    <w:rsid w:val="006638BC"/>
    <w:rsid w:val="00663D56"/>
    <w:rsid w:val="00664383"/>
    <w:rsid w:val="006657CB"/>
    <w:rsid w:val="00665BFF"/>
    <w:rsid w:val="00665E0C"/>
    <w:rsid w:val="00666400"/>
    <w:rsid w:val="00666480"/>
    <w:rsid w:val="006675BC"/>
    <w:rsid w:val="0067050D"/>
    <w:rsid w:val="00670C37"/>
    <w:rsid w:val="00671460"/>
    <w:rsid w:val="006714B4"/>
    <w:rsid w:val="006714B6"/>
    <w:rsid w:val="0067204C"/>
    <w:rsid w:val="00672A40"/>
    <w:rsid w:val="00672D57"/>
    <w:rsid w:val="006731E4"/>
    <w:rsid w:val="006738F2"/>
    <w:rsid w:val="0067508F"/>
    <w:rsid w:val="006769EF"/>
    <w:rsid w:val="00677460"/>
    <w:rsid w:val="006804FF"/>
    <w:rsid w:val="0068072C"/>
    <w:rsid w:val="00680FCA"/>
    <w:rsid w:val="00681B8A"/>
    <w:rsid w:val="00681BD9"/>
    <w:rsid w:val="00681F33"/>
    <w:rsid w:val="006824B2"/>
    <w:rsid w:val="00682E88"/>
    <w:rsid w:val="00682F4C"/>
    <w:rsid w:val="00684067"/>
    <w:rsid w:val="006845DB"/>
    <w:rsid w:val="00684DD2"/>
    <w:rsid w:val="00684E17"/>
    <w:rsid w:val="00685644"/>
    <w:rsid w:val="00685B6A"/>
    <w:rsid w:val="006870C9"/>
    <w:rsid w:val="0069022A"/>
    <w:rsid w:val="00691179"/>
    <w:rsid w:val="00693EC8"/>
    <w:rsid w:val="00694579"/>
    <w:rsid w:val="00694876"/>
    <w:rsid w:val="00694D7F"/>
    <w:rsid w:val="00694E39"/>
    <w:rsid w:val="00695FF1"/>
    <w:rsid w:val="0069623B"/>
    <w:rsid w:val="0069692E"/>
    <w:rsid w:val="006969A8"/>
    <w:rsid w:val="006971BA"/>
    <w:rsid w:val="00697E44"/>
    <w:rsid w:val="006A041A"/>
    <w:rsid w:val="006A09D0"/>
    <w:rsid w:val="006A12F8"/>
    <w:rsid w:val="006A1456"/>
    <w:rsid w:val="006A1656"/>
    <w:rsid w:val="006A1678"/>
    <w:rsid w:val="006A222F"/>
    <w:rsid w:val="006A2580"/>
    <w:rsid w:val="006A289B"/>
    <w:rsid w:val="006A2B65"/>
    <w:rsid w:val="006A40BC"/>
    <w:rsid w:val="006A50CC"/>
    <w:rsid w:val="006A5119"/>
    <w:rsid w:val="006A5A69"/>
    <w:rsid w:val="006A5CA3"/>
    <w:rsid w:val="006A5F4F"/>
    <w:rsid w:val="006A6134"/>
    <w:rsid w:val="006A72C2"/>
    <w:rsid w:val="006A76ED"/>
    <w:rsid w:val="006A7B59"/>
    <w:rsid w:val="006A7BA1"/>
    <w:rsid w:val="006A7ECA"/>
    <w:rsid w:val="006B01DE"/>
    <w:rsid w:val="006B15DC"/>
    <w:rsid w:val="006B215D"/>
    <w:rsid w:val="006B2C6E"/>
    <w:rsid w:val="006B3172"/>
    <w:rsid w:val="006B43DA"/>
    <w:rsid w:val="006B5022"/>
    <w:rsid w:val="006B6D9D"/>
    <w:rsid w:val="006C0AAE"/>
    <w:rsid w:val="006C0E08"/>
    <w:rsid w:val="006C212E"/>
    <w:rsid w:val="006C28D2"/>
    <w:rsid w:val="006C2C55"/>
    <w:rsid w:val="006C5884"/>
    <w:rsid w:val="006C63EE"/>
    <w:rsid w:val="006C6984"/>
    <w:rsid w:val="006C7BE9"/>
    <w:rsid w:val="006D0947"/>
    <w:rsid w:val="006D27B9"/>
    <w:rsid w:val="006D2C61"/>
    <w:rsid w:val="006D315A"/>
    <w:rsid w:val="006D418F"/>
    <w:rsid w:val="006D563E"/>
    <w:rsid w:val="006D5693"/>
    <w:rsid w:val="006D56B7"/>
    <w:rsid w:val="006D6B69"/>
    <w:rsid w:val="006D6B82"/>
    <w:rsid w:val="006E173E"/>
    <w:rsid w:val="006E27B0"/>
    <w:rsid w:val="006E27BF"/>
    <w:rsid w:val="006E3493"/>
    <w:rsid w:val="006E40F8"/>
    <w:rsid w:val="006E4A92"/>
    <w:rsid w:val="006E5BE0"/>
    <w:rsid w:val="006E5FB4"/>
    <w:rsid w:val="006E7BD3"/>
    <w:rsid w:val="006E7C29"/>
    <w:rsid w:val="006F2324"/>
    <w:rsid w:val="006F2EDD"/>
    <w:rsid w:val="006F3834"/>
    <w:rsid w:val="006F3C5F"/>
    <w:rsid w:val="006F4A66"/>
    <w:rsid w:val="006F4EF3"/>
    <w:rsid w:val="006F62DD"/>
    <w:rsid w:val="007005EA"/>
    <w:rsid w:val="00700C54"/>
    <w:rsid w:val="0070207B"/>
    <w:rsid w:val="00702E81"/>
    <w:rsid w:val="00703B10"/>
    <w:rsid w:val="0070473B"/>
    <w:rsid w:val="00704EF1"/>
    <w:rsid w:val="00704F64"/>
    <w:rsid w:val="00705069"/>
    <w:rsid w:val="00706374"/>
    <w:rsid w:val="007063E8"/>
    <w:rsid w:val="007064BA"/>
    <w:rsid w:val="007068C9"/>
    <w:rsid w:val="0070701C"/>
    <w:rsid w:val="00707655"/>
    <w:rsid w:val="00711628"/>
    <w:rsid w:val="00711CE7"/>
    <w:rsid w:val="007146D8"/>
    <w:rsid w:val="00714D01"/>
    <w:rsid w:val="00715770"/>
    <w:rsid w:val="00715A59"/>
    <w:rsid w:val="00715C19"/>
    <w:rsid w:val="00716A2D"/>
    <w:rsid w:val="00717177"/>
    <w:rsid w:val="00717592"/>
    <w:rsid w:val="00721127"/>
    <w:rsid w:val="00721A41"/>
    <w:rsid w:val="00722864"/>
    <w:rsid w:val="00723135"/>
    <w:rsid w:val="0072385A"/>
    <w:rsid w:val="0072438A"/>
    <w:rsid w:val="00724DAD"/>
    <w:rsid w:val="0072642D"/>
    <w:rsid w:val="0072655D"/>
    <w:rsid w:val="00726B10"/>
    <w:rsid w:val="00727610"/>
    <w:rsid w:val="007305ED"/>
    <w:rsid w:val="00731066"/>
    <w:rsid w:val="00732529"/>
    <w:rsid w:val="00733443"/>
    <w:rsid w:val="00733873"/>
    <w:rsid w:val="007338C7"/>
    <w:rsid w:val="00734328"/>
    <w:rsid w:val="00735B51"/>
    <w:rsid w:val="00736192"/>
    <w:rsid w:val="0073634E"/>
    <w:rsid w:val="0073644B"/>
    <w:rsid w:val="00740876"/>
    <w:rsid w:val="0074088F"/>
    <w:rsid w:val="00740949"/>
    <w:rsid w:val="00741089"/>
    <w:rsid w:val="00741336"/>
    <w:rsid w:val="007415CC"/>
    <w:rsid w:val="007423EC"/>
    <w:rsid w:val="007426CC"/>
    <w:rsid w:val="007428A2"/>
    <w:rsid w:val="007443B2"/>
    <w:rsid w:val="00744981"/>
    <w:rsid w:val="00744A65"/>
    <w:rsid w:val="00744EE5"/>
    <w:rsid w:val="00745C97"/>
    <w:rsid w:val="007465D3"/>
    <w:rsid w:val="007469B2"/>
    <w:rsid w:val="00746CD7"/>
    <w:rsid w:val="00747332"/>
    <w:rsid w:val="007505B8"/>
    <w:rsid w:val="00750B7B"/>
    <w:rsid w:val="0075132B"/>
    <w:rsid w:val="0075158E"/>
    <w:rsid w:val="00751862"/>
    <w:rsid w:val="00752344"/>
    <w:rsid w:val="00752C42"/>
    <w:rsid w:val="00752C78"/>
    <w:rsid w:val="007536CC"/>
    <w:rsid w:val="0075380D"/>
    <w:rsid w:val="007543E1"/>
    <w:rsid w:val="00754EFB"/>
    <w:rsid w:val="00755A4E"/>
    <w:rsid w:val="00755CA9"/>
    <w:rsid w:val="00756429"/>
    <w:rsid w:val="00761619"/>
    <w:rsid w:val="00761D29"/>
    <w:rsid w:val="00761FD7"/>
    <w:rsid w:val="00762BAD"/>
    <w:rsid w:val="007630AD"/>
    <w:rsid w:val="007637FA"/>
    <w:rsid w:val="007639F2"/>
    <w:rsid w:val="00763D20"/>
    <w:rsid w:val="00764222"/>
    <w:rsid w:val="007655A2"/>
    <w:rsid w:val="00765A48"/>
    <w:rsid w:val="00766B80"/>
    <w:rsid w:val="00766CE3"/>
    <w:rsid w:val="007673AA"/>
    <w:rsid w:val="0077024E"/>
    <w:rsid w:val="00770F56"/>
    <w:rsid w:val="00772163"/>
    <w:rsid w:val="0077343C"/>
    <w:rsid w:val="00774426"/>
    <w:rsid w:val="00774447"/>
    <w:rsid w:val="007747AB"/>
    <w:rsid w:val="007748C6"/>
    <w:rsid w:val="00774D3A"/>
    <w:rsid w:val="0077538E"/>
    <w:rsid w:val="0077568E"/>
    <w:rsid w:val="007808E7"/>
    <w:rsid w:val="00780F25"/>
    <w:rsid w:val="007829AC"/>
    <w:rsid w:val="00782AE4"/>
    <w:rsid w:val="007839AD"/>
    <w:rsid w:val="00784362"/>
    <w:rsid w:val="007860ED"/>
    <w:rsid w:val="00786189"/>
    <w:rsid w:val="007863AB"/>
    <w:rsid w:val="00786610"/>
    <w:rsid w:val="00787331"/>
    <w:rsid w:val="00790634"/>
    <w:rsid w:val="00791E74"/>
    <w:rsid w:val="0079312F"/>
    <w:rsid w:val="0079339D"/>
    <w:rsid w:val="00794A4A"/>
    <w:rsid w:val="00794B21"/>
    <w:rsid w:val="007951F0"/>
    <w:rsid w:val="00795334"/>
    <w:rsid w:val="00795C77"/>
    <w:rsid w:val="00795EE4"/>
    <w:rsid w:val="00795F55"/>
    <w:rsid w:val="0079657C"/>
    <w:rsid w:val="00797213"/>
    <w:rsid w:val="0079791E"/>
    <w:rsid w:val="007A0070"/>
    <w:rsid w:val="007A06B9"/>
    <w:rsid w:val="007A11B3"/>
    <w:rsid w:val="007A161E"/>
    <w:rsid w:val="007A1D64"/>
    <w:rsid w:val="007A32A9"/>
    <w:rsid w:val="007A3784"/>
    <w:rsid w:val="007A396C"/>
    <w:rsid w:val="007A47D1"/>
    <w:rsid w:val="007A7022"/>
    <w:rsid w:val="007B0457"/>
    <w:rsid w:val="007B1F22"/>
    <w:rsid w:val="007B228D"/>
    <w:rsid w:val="007B2EFE"/>
    <w:rsid w:val="007B3513"/>
    <w:rsid w:val="007B40D5"/>
    <w:rsid w:val="007B4139"/>
    <w:rsid w:val="007B416F"/>
    <w:rsid w:val="007B538F"/>
    <w:rsid w:val="007B5C0B"/>
    <w:rsid w:val="007B6391"/>
    <w:rsid w:val="007B78CB"/>
    <w:rsid w:val="007B7A62"/>
    <w:rsid w:val="007C09CA"/>
    <w:rsid w:val="007C0D53"/>
    <w:rsid w:val="007C0E09"/>
    <w:rsid w:val="007C2DD3"/>
    <w:rsid w:val="007C3D90"/>
    <w:rsid w:val="007C401E"/>
    <w:rsid w:val="007C4513"/>
    <w:rsid w:val="007C475B"/>
    <w:rsid w:val="007C7371"/>
    <w:rsid w:val="007C7A08"/>
    <w:rsid w:val="007D0547"/>
    <w:rsid w:val="007D2AB7"/>
    <w:rsid w:val="007D38E4"/>
    <w:rsid w:val="007D4ADF"/>
    <w:rsid w:val="007D5474"/>
    <w:rsid w:val="007D6720"/>
    <w:rsid w:val="007D6805"/>
    <w:rsid w:val="007D7127"/>
    <w:rsid w:val="007D74A9"/>
    <w:rsid w:val="007D7A52"/>
    <w:rsid w:val="007D7AF7"/>
    <w:rsid w:val="007E0CA3"/>
    <w:rsid w:val="007E2183"/>
    <w:rsid w:val="007E2350"/>
    <w:rsid w:val="007E2BA7"/>
    <w:rsid w:val="007E2E91"/>
    <w:rsid w:val="007E39C0"/>
    <w:rsid w:val="007E3A2F"/>
    <w:rsid w:val="007E7A16"/>
    <w:rsid w:val="007F0698"/>
    <w:rsid w:val="007F274D"/>
    <w:rsid w:val="007F3233"/>
    <w:rsid w:val="007F5C41"/>
    <w:rsid w:val="007F6487"/>
    <w:rsid w:val="007F6872"/>
    <w:rsid w:val="007F6D60"/>
    <w:rsid w:val="007F7D8C"/>
    <w:rsid w:val="007F7D9F"/>
    <w:rsid w:val="00800793"/>
    <w:rsid w:val="008032E5"/>
    <w:rsid w:val="0080452C"/>
    <w:rsid w:val="00805BF5"/>
    <w:rsid w:val="0080680C"/>
    <w:rsid w:val="00806E19"/>
    <w:rsid w:val="00807226"/>
    <w:rsid w:val="008104DE"/>
    <w:rsid w:val="008107CE"/>
    <w:rsid w:val="008119E7"/>
    <w:rsid w:val="00811A6D"/>
    <w:rsid w:val="00811DBE"/>
    <w:rsid w:val="00813CF0"/>
    <w:rsid w:val="008150CB"/>
    <w:rsid w:val="008156D7"/>
    <w:rsid w:val="00815712"/>
    <w:rsid w:val="0081571C"/>
    <w:rsid w:val="00816E09"/>
    <w:rsid w:val="008173EA"/>
    <w:rsid w:val="0082012B"/>
    <w:rsid w:val="00820380"/>
    <w:rsid w:val="00822D25"/>
    <w:rsid w:val="00823B02"/>
    <w:rsid w:val="00823BE0"/>
    <w:rsid w:val="00825AE1"/>
    <w:rsid w:val="00826070"/>
    <w:rsid w:val="0082665D"/>
    <w:rsid w:val="0082716C"/>
    <w:rsid w:val="008274F9"/>
    <w:rsid w:val="0083014C"/>
    <w:rsid w:val="00831181"/>
    <w:rsid w:val="008319E2"/>
    <w:rsid w:val="00833110"/>
    <w:rsid w:val="00833D2C"/>
    <w:rsid w:val="0083415C"/>
    <w:rsid w:val="00834F12"/>
    <w:rsid w:val="0083557F"/>
    <w:rsid w:val="00835655"/>
    <w:rsid w:val="00835EF0"/>
    <w:rsid w:val="00836134"/>
    <w:rsid w:val="00836600"/>
    <w:rsid w:val="00836D66"/>
    <w:rsid w:val="0084054E"/>
    <w:rsid w:val="00840E93"/>
    <w:rsid w:val="0084297E"/>
    <w:rsid w:val="00843A37"/>
    <w:rsid w:val="00843B05"/>
    <w:rsid w:val="00844653"/>
    <w:rsid w:val="008446C5"/>
    <w:rsid w:val="00844950"/>
    <w:rsid w:val="00846B9C"/>
    <w:rsid w:val="00847569"/>
    <w:rsid w:val="00847993"/>
    <w:rsid w:val="00847D12"/>
    <w:rsid w:val="00847F9E"/>
    <w:rsid w:val="00851C64"/>
    <w:rsid w:val="008524E0"/>
    <w:rsid w:val="0085330D"/>
    <w:rsid w:val="00853760"/>
    <w:rsid w:val="0085426D"/>
    <w:rsid w:val="00854550"/>
    <w:rsid w:val="00854571"/>
    <w:rsid w:val="0085464A"/>
    <w:rsid w:val="00854E17"/>
    <w:rsid w:val="0085572D"/>
    <w:rsid w:val="00855981"/>
    <w:rsid w:val="00856466"/>
    <w:rsid w:val="00856C10"/>
    <w:rsid w:val="00856CA2"/>
    <w:rsid w:val="0085731D"/>
    <w:rsid w:val="00860465"/>
    <w:rsid w:val="00860BAE"/>
    <w:rsid w:val="008624BF"/>
    <w:rsid w:val="00862AAD"/>
    <w:rsid w:val="00863779"/>
    <w:rsid w:val="00863A73"/>
    <w:rsid w:val="00863BD6"/>
    <w:rsid w:val="00863CA2"/>
    <w:rsid w:val="0086417E"/>
    <w:rsid w:val="00864746"/>
    <w:rsid w:val="0086504D"/>
    <w:rsid w:val="00866215"/>
    <w:rsid w:val="00866AA9"/>
    <w:rsid w:val="00866C96"/>
    <w:rsid w:val="00866FB3"/>
    <w:rsid w:val="008674E8"/>
    <w:rsid w:val="0087173B"/>
    <w:rsid w:val="008742DB"/>
    <w:rsid w:val="008748C2"/>
    <w:rsid w:val="0087586E"/>
    <w:rsid w:val="0087651F"/>
    <w:rsid w:val="008774D5"/>
    <w:rsid w:val="008774E1"/>
    <w:rsid w:val="008811C5"/>
    <w:rsid w:val="00883533"/>
    <w:rsid w:val="0088366F"/>
    <w:rsid w:val="00883A04"/>
    <w:rsid w:val="008848AD"/>
    <w:rsid w:val="00884B00"/>
    <w:rsid w:val="00884C0A"/>
    <w:rsid w:val="00885490"/>
    <w:rsid w:val="00885BED"/>
    <w:rsid w:val="00885EA7"/>
    <w:rsid w:val="008862C3"/>
    <w:rsid w:val="00886AEB"/>
    <w:rsid w:val="00886DB1"/>
    <w:rsid w:val="00887AD6"/>
    <w:rsid w:val="00890912"/>
    <w:rsid w:val="00890E1B"/>
    <w:rsid w:val="008931C9"/>
    <w:rsid w:val="00893808"/>
    <w:rsid w:val="00893CBA"/>
    <w:rsid w:val="008957E8"/>
    <w:rsid w:val="008965EB"/>
    <w:rsid w:val="008966C6"/>
    <w:rsid w:val="008A10A4"/>
    <w:rsid w:val="008A19EC"/>
    <w:rsid w:val="008A2293"/>
    <w:rsid w:val="008A52FB"/>
    <w:rsid w:val="008A5B87"/>
    <w:rsid w:val="008A5D08"/>
    <w:rsid w:val="008A6072"/>
    <w:rsid w:val="008A66C0"/>
    <w:rsid w:val="008A7F32"/>
    <w:rsid w:val="008B0146"/>
    <w:rsid w:val="008B0ABB"/>
    <w:rsid w:val="008B0D36"/>
    <w:rsid w:val="008B2460"/>
    <w:rsid w:val="008B2D57"/>
    <w:rsid w:val="008B3F1C"/>
    <w:rsid w:val="008B461F"/>
    <w:rsid w:val="008B5729"/>
    <w:rsid w:val="008B5B4D"/>
    <w:rsid w:val="008B6471"/>
    <w:rsid w:val="008B7DD8"/>
    <w:rsid w:val="008C0A2E"/>
    <w:rsid w:val="008C0BBD"/>
    <w:rsid w:val="008C14CC"/>
    <w:rsid w:val="008C161E"/>
    <w:rsid w:val="008C19E7"/>
    <w:rsid w:val="008C2899"/>
    <w:rsid w:val="008C3057"/>
    <w:rsid w:val="008C336E"/>
    <w:rsid w:val="008C3C15"/>
    <w:rsid w:val="008C3F6D"/>
    <w:rsid w:val="008C49AF"/>
    <w:rsid w:val="008C4ABC"/>
    <w:rsid w:val="008C4C73"/>
    <w:rsid w:val="008C5E71"/>
    <w:rsid w:val="008C62B4"/>
    <w:rsid w:val="008C6458"/>
    <w:rsid w:val="008C66D4"/>
    <w:rsid w:val="008C7345"/>
    <w:rsid w:val="008D0D7C"/>
    <w:rsid w:val="008D1F5B"/>
    <w:rsid w:val="008D382F"/>
    <w:rsid w:val="008D5818"/>
    <w:rsid w:val="008D7D0E"/>
    <w:rsid w:val="008E058D"/>
    <w:rsid w:val="008E0B2D"/>
    <w:rsid w:val="008E13C8"/>
    <w:rsid w:val="008E3744"/>
    <w:rsid w:val="008E37D4"/>
    <w:rsid w:val="008E3A4B"/>
    <w:rsid w:val="008E4115"/>
    <w:rsid w:val="008E5BE2"/>
    <w:rsid w:val="008E72AC"/>
    <w:rsid w:val="008F12E5"/>
    <w:rsid w:val="008F15A8"/>
    <w:rsid w:val="008F2665"/>
    <w:rsid w:val="008F4E3B"/>
    <w:rsid w:val="008F510F"/>
    <w:rsid w:val="008F5846"/>
    <w:rsid w:val="008F594B"/>
    <w:rsid w:val="008F6FC8"/>
    <w:rsid w:val="00900232"/>
    <w:rsid w:val="0090103D"/>
    <w:rsid w:val="009018A7"/>
    <w:rsid w:val="009029B9"/>
    <w:rsid w:val="0090303F"/>
    <w:rsid w:val="009050C0"/>
    <w:rsid w:val="00905CC0"/>
    <w:rsid w:val="00905F6B"/>
    <w:rsid w:val="00906294"/>
    <w:rsid w:val="00906B01"/>
    <w:rsid w:val="00906CF5"/>
    <w:rsid w:val="00907A28"/>
    <w:rsid w:val="00907E2E"/>
    <w:rsid w:val="00910783"/>
    <w:rsid w:val="009112B0"/>
    <w:rsid w:val="0091186E"/>
    <w:rsid w:val="00912003"/>
    <w:rsid w:val="00913910"/>
    <w:rsid w:val="00913B09"/>
    <w:rsid w:val="00913B20"/>
    <w:rsid w:val="00914126"/>
    <w:rsid w:val="00914A2F"/>
    <w:rsid w:val="00914EBA"/>
    <w:rsid w:val="00915FAD"/>
    <w:rsid w:val="00916EC6"/>
    <w:rsid w:val="0092027A"/>
    <w:rsid w:val="0092410F"/>
    <w:rsid w:val="00925042"/>
    <w:rsid w:val="00925521"/>
    <w:rsid w:val="00925532"/>
    <w:rsid w:val="009255D7"/>
    <w:rsid w:val="00925C02"/>
    <w:rsid w:val="00926BF8"/>
    <w:rsid w:val="009277E9"/>
    <w:rsid w:val="00927951"/>
    <w:rsid w:val="00927A2B"/>
    <w:rsid w:val="009307A6"/>
    <w:rsid w:val="00931270"/>
    <w:rsid w:val="00934D12"/>
    <w:rsid w:val="00935E3C"/>
    <w:rsid w:val="00936092"/>
    <w:rsid w:val="009362B3"/>
    <w:rsid w:val="009364C6"/>
    <w:rsid w:val="00936C7F"/>
    <w:rsid w:val="009372C7"/>
    <w:rsid w:val="009372EB"/>
    <w:rsid w:val="009373ED"/>
    <w:rsid w:val="0094087A"/>
    <w:rsid w:val="00940F6A"/>
    <w:rsid w:val="00941F0D"/>
    <w:rsid w:val="009420C8"/>
    <w:rsid w:val="0094228C"/>
    <w:rsid w:val="009425DE"/>
    <w:rsid w:val="00942900"/>
    <w:rsid w:val="0094410B"/>
    <w:rsid w:val="0094431A"/>
    <w:rsid w:val="009444E6"/>
    <w:rsid w:val="00946392"/>
    <w:rsid w:val="00946AD8"/>
    <w:rsid w:val="00946E4F"/>
    <w:rsid w:val="0095053C"/>
    <w:rsid w:val="00952717"/>
    <w:rsid w:val="00953334"/>
    <w:rsid w:val="00953D8E"/>
    <w:rsid w:val="00954E29"/>
    <w:rsid w:val="00955B9A"/>
    <w:rsid w:val="00960799"/>
    <w:rsid w:val="00961D55"/>
    <w:rsid w:val="00962971"/>
    <w:rsid w:val="00962D9F"/>
    <w:rsid w:val="00962EBA"/>
    <w:rsid w:val="00963068"/>
    <w:rsid w:val="0096444F"/>
    <w:rsid w:val="00964933"/>
    <w:rsid w:val="00965F27"/>
    <w:rsid w:val="0096632B"/>
    <w:rsid w:val="009704A6"/>
    <w:rsid w:val="00971281"/>
    <w:rsid w:val="009728AE"/>
    <w:rsid w:val="00973DAD"/>
    <w:rsid w:val="0097412A"/>
    <w:rsid w:val="00974EB1"/>
    <w:rsid w:val="00977482"/>
    <w:rsid w:val="0097752E"/>
    <w:rsid w:val="00977F41"/>
    <w:rsid w:val="009801A9"/>
    <w:rsid w:val="00980681"/>
    <w:rsid w:val="009807C9"/>
    <w:rsid w:val="00980AAF"/>
    <w:rsid w:val="00980EC2"/>
    <w:rsid w:val="009814F4"/>
    <w:rsid w:val="00981790"/>
    <w:rsid w:val="00981F86"/>
    <w:rsid w:val="0098212B"/>
    <w:rsid w:val="009831EE"/>
    <w:rsid w:val="00985607"/>
    <w:rsid w:val="00986614"/>
    <w:rsid w:val="0098666E"/>
    <w:rsid w:val="00986A51"/>
    <w:rsid w:val="00990305"/>
    <w:rsid w:val="00990762"/>
    <w:rsid w:val="0099156C"/>
    <w:rsid w:val="00992232"/>
    <w:rsid w:val="009926A7"/>
    <w:rsid w:val="00993C4B"/>
    <w:rsid w:val="00993F6A"/>
    <w:rsid w:val="00995A49"/>
    <w:rsid w:val="00996131"/>
    <w:rsid w:val="009963DA"/>
    <w:rsid w:val="00996A6B"/>
    <w:rsid w:val="0099706A"/>
    <w:rsid w:val="00997079"/>
    <w:rsid w:val="009A08A8"/>
    <w:rsid w:val="009A1FEA"/>
    <w:rsid w:val="009A30F3"/>
    <w:rsid w:val="009A3335"/>
    <w:rsid w:val="009A34EA"/>
    <w:rsid w:val="009A4BFD"/>
    <w:rsid w:val="009A5BBE"/>
    <w:rsid w:val="009A5EF3"/>
    <w:rsid w:val="009A7F07"/>
    <w:rsid w:val="009B0324"/>
    <w:rsid w:val="009B08BF"/>
    <w:rsid w:val="009B2233"/>
    <w:rsid w:val="009B29A4"/>
    <w:rsid w:val="009B3440"/>
    <w:rsid w:val="009B36C9"/>
    <w:rsid w:val="009B4D47"/>
    <w:rsid w:val="009B6992"/>
    <w:rsid w:val="009B74B8"/>
    <w:rsid w:val="009C0C0D"/>
    <w:rsid w:val="009C119B"/>
    <w:rsid w:val="009C386C"/>
    <w:rsid w:val="009C51BC"/>
    <w:rsid w:val="009C6375"/>
    <w:rsid w:val="009C6647"/>
    <w:rsid w:val="009C691C"/>
    <w:rsid w:val="009C6F75"/>
    <w:rsid w:val="009C71D3"/>
    <w:rsid w:val="009C7A21"/>
    <w:rsid w:val="009C7F0C"/>
    <w:rsid w:val="009D13E8"/>
    <w:rsid w:val="009D338B"/>
    <w:rsid w:val="009D3E5F"/>
    <w:rsid w:val="009D4FA3"/>
    <w:rsid w:val="009D5B39"/>
    <w:rsid w:val="009D5D5D"/>
    <w:rsid w:val="009D6355"/>
    <w:rsid w:val="009D63FF"/>
    <w:rsid w:val="009D6749"/>
    <w:rsid w:val="009D6F8F"/>
    <w:rsid w:val="009E071E"/>
    <w:rsid w:val="009E1E00"/>
    <w:rsid w:val="009E2568"/>
    <w:rsid w:val="009E2892"/>
    <w:rsid w:val="009E2BBF"/>
    <w:rsid w:val="009E31C1"/>
    <w:rsid w:val="009E4F1F"/>
    <w:rsid w:val="009E5061"/>
    <w:rsid w:val="009E5962"/>
    <w:rsid w:val="009E6913"/>
    <w:rsid w:val="009E7B42"/>
    <w:rsid w:val="009F0496"/>
    <w:rsid w:val="009F2239"/>
    <w:rsid w:val="009F292C"/>
    <w:rsid w:val="009F3C32"/>
    <w:rsid w:val="009F3C97"/>
    <w:rsid w:val="009F4583"/>
    <w:rsid w:val="009F56FF"/>
    <w:rsid w:val="009F5B7F"/>
    <w:rsid w:val="009F647C"/>
    <w:rsid w:val="00A0000B"/>
    <w:rsid w:val="00A00F74"/>
    <w:rsid w:val="00A0153A"/>
    <w:rsid w:val="00A017C0"/>
    <w:rsid w:val="00A01BB8"/>
    <w:rsid w:val="00A02B53"/>
    <w:rsid w:val="00A0307E"/>
    <w:rsid w:val="00A03E03"/>
    <w:rsid w:val="00A044E6"/>
    <w:rsid w:val="00A046EE"/>
    <w:rsid w:val="00A049AF"/>
    <w:rsid w:val="00A04DF1"/>
    <w:rsid w:val="00A060A5"/>
    <w:rsid w:val="00A06E84"/>
    <w:rsid w:val="00A078CB"/>
    <w:rsid w:val="00A1024F"/>
    <w:rsid w:val="00A10C2A"/>
    <w:rsid w:val="00A11BE7"/>
    <w:rsid w:val="00A12C0F"/>
    <w:rsid w:val="00A13D79"/>
    <w:rsid w:val="00A1421D"/>
    <w:rsid w:val="00A153F6"/>
    <w:rsid w:val="00A16199"/>
    <w:rsid w:val="00A16450"/>
    <w:rsid w:val="00A16612"/>
    <w:rsid w:val="00A200B7"/>
    <w:rsid w:val="00A2049F"/>
    <w:rsid w:val="00A204E3"/>
    <w:rsid w:val="00A208D8"/>
    <w:rsid w:val="00A2274F"/>
    <w:rsid w:val="00A22909"/>
    <w:rsid w:val="00A22918"/>
    <w:rsid w:val="00A230A2"/>
    <w:rsid w:val="00A23AAD"/>
    <w:rsid w:val="00A253F0"/>
    <w:rsid w:val="00A26D5E"/>
    <w:rsid w:val="00A27F76"/>
    <w:rsid w:val="00A3050D"/>
    <w:rsid w:val="00A305EF"/>
    <w:rsid w:val="00A30608"/>
    <w:rsid w:val="00A313C0"/>
    <w:rsid w:val="00A3140B"/>
    <w:rsid w:val="00A322A2"/>
    <w:rsid w:val="00A32ACE"/>
    <w:rsid w:val="00A32CF5"/>
    <w:rsid w:val="00A330F6"/>
    <w:rsid w:val="00A343B7"/>
    <w:rsid w:val="00A35B15"/>
    <w:rsid w:val="00A36611"/>
    <w:rsid w:val="00A40D81"/>
    <w:rsid w:val="00A41562"/>
    <w:rsid w:val="00A42863"/>
    <w:rsid w:val="00A42FD1"/>
    <w:rsid w:val="00A43408"/>
    <w:rsid w:val="00A448DD"/>
    <w:rsid w:val="00A44CBA"/>
    <w:rsid w:val="00A45A9F"/>
    <w:rsid w:val="00A4611E"/>
    <w:rsid w:val="00A4707D"/>
    <w:rsid w:val="00A4763C"/>
    <w:rsid w:val="00A47BB6"/>
    <w:rsid w:val="00A50952"/>
    <w:rsid w:val="00A530D1"/>
    <w:rsid w:val="00A53577"/>
    <w:rsid w:val="00A5399A"/>
    <w:rsid w:val="00A539C2"/>
    <w:rsid w:val="00A55554"/>
    <w:rsid w:val="00A55B74"/>
    <w:rsid w:val="00A571FE"/>
    <w:rsid w:val="00A60458"/>
    <w:rsid w:val="00A604BF"/>
    <w:rsid w:val="00A613E0"/>
    <w:rsid w:val="00A61FE4"/>
    <w:rsid w:val="00A622B0"/>
    <w:rsid w:val="00A623A6"/>
    <w:rsid w:val="00A62A57"/>
    <w:rsid w:val="00A62AC6"/>
    <w:rsid w:val="00A630E8"/>
    <w:rsid w:val="00A635D9"/>
    <w:rsid w:val="00A642B6"/>
    <w:rsid w:val="00A64303"/>
    <w:rsid w:val="00A64EB7"/>
    <w:rsid w:val="00A65CB3"/>
    <w:rsid w:val="00A6685A"/>
    <w:rsid w:val="00A66E83"/>
    <w:rsid w:val="00A70AF0"/>
    <w:rsid w:val="00A716BC"/>
    <w:rsid w:val="00A71E46"/>
    <w:rsid w:val="00A72840"/>
    <w:rsid w:val="00A730EC"/>
    <w:rsid w:val="00A745D4"/>
    <w:rsid w:val="00A75C46"/>
    <w:rsid w:val="00A75E58"/>
    <w:rsid w:val="00A76818"/>
    <w:rsid w:val="00A775D0"/>
    <w:rsid w:val="00A77CBB"/>
    <w:rsid w:val="00A818AB"/>
    <w:rsid w:val="00A82B83"/>
    <w:rsid w:val="00A843B8"/>
    <w:rsid w:val="00A84899"/>
    <w:rsid w:val="00A84F1D"/>
    <w:rsid w:val="00A859BA"/>
    <w:rsid w:val="00A862D8"/>
    <w:rsid w:val="00A8644E"/>
    <w:rsid w:val="00A8774D"/>
    <w:rsid w:val="00A905C9"/>
    <w:rsid w:val="00A90698"/>
    <w:rsid w:val="00A914AF"/>
    <w:rsid w:val="00A91B8F"/>
    <w:rsid w:val="00A91F24"/>
    <w:rsid w:val="00A92092"/>
    <w:rsid w:val="00A924B3"/>
    <w:rsid w:val="00A926B7"/>
    <w:rsid w:val="00A92E41"/>
    <w:rsid w:val="00A93082"/>
    <w:rsid w:val="00A938EF"/>
    <w:rsid w:val="00A94F07"/>
    <w:rsid w:val="00A94FD0"/>
    <w:rsid w:val="00A95FD0"/>
    <w:rsid w:val="00A96637"/>
    <w:rsid w:val="00A96AAB"/>
    <w:rsid w:val="00A96B56"/>
    <w:rsid w:val="00A975C2"/>
    <w:rsid w:val="00A97651"/>
    <w:rsid w:val="00AA0CFA"/>
    <w:rsid w:val="00AA0D6B"/>
    <w:rsid w:val="00AA3ECA"/>
    <w:rsid w:val="00AA50D2"/>
    <w:rsid w:val="00AA5982"/>
    <w:rsid w:val="00AA5B8D"/>
    <w:rsid w:val="00AA6178"/>
    <w:rsid w:val="00AA6B6E"/>
    <w:rsid w:val="00AA6F76"/>
    <w:rsid w:val="00AA7212"/>
    <w:rsid w:val="00AA76D1"/>
    <w:rsid w:val="00AB1ECF"/>
    <w:rsid w:val="00AB1F53"/>
    <w:rsid w:val="00AB2024"/>
    <w:rsid w:val="00AB2FF2"/>
    <w:rsid w:val="00AB4944"/>
    <w:rsid w:val="00AB62FE"/>
    <w:rsid w:val="00AB7061"/>
    <w:rsid w:val="00AC0927"/>
    <w:rsid w:val="00AC0F0C"/>
    <w:rsid w:val="00AC3840"/>
    <w:rsid w:val="00AC448F"/>
    <w:rsid w:val="00AD095F"/>
    <w:rsid w:val="00AD1925"/>
    <w:rsid w:val="00AD198C"/>
    <w:rsid w:val="00AD24F7"/>
    <w:rsid w:val="00AD2733"/>
    <w:rsid w:val="00AD32A4"/>
    <w:rsid w:val="00AD4C40"/>
    <w:rsid w:val="00AD64CF"/>
    <w:rsid w:val="00AD6A1C"/>
    <w:rsid w:val="00AD6B6E"/>
    <w:rsid w:val="00AD6CF4"/>
    <w:rsid w:val="00AD6E20"/>
    <w:rsid w:val="00AD75B5"/>
    <w:rsid w:val="00AE0051"/>
    <w:rsid w:val="00AE2400"/>
    <w:rsid w:val="00AE2B05"/>
    <w:rsid w:val="00AE3376"/>
    <w:rsid w:val="00AE3AB7"/>
    <w:rsid w:val="00AE403D"/>
    <w:rsid w:val="00AE443E"/>
    <w:rsid w:val="00AE489F"/>
    <w:rsid w:val="00AE51DB"/>
    <w:rsid w:val="00AE5F4B"/>
    <w:rsid w:val="00AE6694"/>
    <w:rsid w:val="00AF0033"/>
    <w:rsid w:val="00AF0042"/>
    <w:rsid w:val="00AF12C8"/>
    <w:rsid w:val="00AF1805"/>
    <w:rsid w:val="00AF2477"/>
    <w:rsid w:val="00AF26B6"/>
    <w:rsid w:val="00AF2893"/>
    <w:rsid w:val="00AF2AAA"/>
    <w:rsid w:val="00AF364D"/>
    <w:rsid w:val="00AF43B2"/>
    <w:rsid w:val="00AF4F8E"/>
    <w:rsid w:val="00AF52B4"/>
    <w:rsid w:val="00AF5309"/>
    <w:rsid w:val="00AF53DB"/>
    <w:rsid w:val="00AF6798"/>
    <w:rsid w:val="00B00A57"/>
    <w:rsid w:val="00B01479"/>
    <w:rsid w:val="00B02240"/>
    <w:rsid w:val="00B025A8"/>
    <w:rsid w:val="00B028A1"/>
    <w:rsid w:val="00B02EF4"/>
    <w:rsid w:val="00B03396"/>
    <w:rsid w:val="00B1000F"/>
    <w:rsid w:val="00B11C1F"/>
    <w:rsid w:val="00B126DE"/>
    <w:rsid w:val="00B126F3"/>
    <w:rsid w:val="00B12767"/>
    <w:rsid w:val="00B12AEA"/>
    <w:rsid w:val="00B1407C"/>
    <w:rsid w:val="00B14113"/>
    <w:rsid w:val="00B151EE"/>
    <w:rsid w:val="00B16E64"/>
    <w:rsid w:val="00B16FA7"/>
    <w:rsid w:val="00B170E9"/>
    <w:rsid w:val="00B17754"/>
    <w:rsid w:val="00B17C5E"/>
    <w:rsid w:val="00B2084D"/>
    <w:rsid w:val="00B20E8A"/>
    <w:rsid w:val="00B20FFA"/>
    <w:rsid w:val="00B2183F"/>
    <w:rsid w:val="00B238A3"/>
    <w:rsid w:val="00B240E1"/>
    <w:rsid w:val="00B254A9"/>
    <w:rsid w:val="00B262BD"/>
    <w:rsid w:val="00B264B2"/>
    <w:rsid w:val="00B26ABE"/>
    <w:rsid w:val="00B272C6"/>
    <w:rsid w:val="00B27D56"/>
    <w:rsid w:val="00B31574"/>
    <w:rsid w:val="00B31723"/>
    <w:rsid w:val="00B31937"/>
    <w:rsid w:val="00B31C93"/>
    <w:rsid w:val="00B321BB"/>
    <w:rsid w:val="00B32A47"/>
    <w:rsid w:val="00B3491A"/>
    <w:rsid w:val="00B34FBE"/>
    <w:rsid w:val="00B357BB"/>
    <w:rsid w:val="00B361EE"/>
    <w:rsid w:val="00B36AC7"/>
    <w:rsid w:val="00B36C38"/>
    <w:rsid w:val="00B375AC"/>
    <w:rsid w:val="00B3789A"/>
    <w:rsid w:val="00B4002D"/>
    <w:rsid w:val="00B401D9"/>
    <w:rsid w:val="00B407EE"/>
    <w:rsid w:val="00B42313"/>
    <w:rsid w:val="00B425B6"/>
    <w:rsid w:val="00B4270A"/>
    <w:rsid w:val="00B42EC0"/>
    <w:rsid w:val="00B45032"/>
    <w:rsid w:val="00B45850"/>
    <w:rsid w:val="00B46230"/>
    <w:rsid w:val="00B464A6"/>
    <w:rsid w:val="00B4732F"/>
    <w:rsid w:val="00B50294"/>
    <w:rsid w:val="00B5186B"/>
    <w:rsid w:val="00B51BBB"/>
    <w:rsid w:val="00B52106"/>
    <w:rsid w:val="00B52386"/>
    <w:rsid w:val="00B52590"/>
    <w:rsid w:val="00B53598"/>
    <w:rsid w:val="00B53D85"/>
    <w:rsid w:val="00B54340"/>
    <w:rsid w:val="00B55630"/>
    <w:rsid w:val="00B56603"/>
    <w:rsid w:val="00B56A1B"/>
    <w:rsid w:val="00B56AE8"/>
    <w:rsid w:val="00B57CCF"/>
    <w:rsid w:val="00B60F69"/>
    <w:rsid w:val="00B613A7"/>
    <w:rsid w:val="00B61910"/>
    <w:rsid w:val="00B61C67"/>
    <w:rsid w:val="00B61E0E"/>
    <w:rsid w:val="00B62C75"/>
    <w:rsid w:val="00B64A91"/>
    <w:rsid w:val="00B64CC6"/>
    <w:rsid w:val="00B64DAE"/>
    <w:rsid w:val="00B64F69"/>
    <w:rsid w:val="00B6625F"/>
    <w:rsid w:val="00B663B6"/>
    <w:rsid w:val="00B6793E"/>
    <w:rsid w:val="00B70C67"/>
    <w:rsid w:val="00B711B5"/>
    <w:rsid w:val="00B71488"/>
    <w:rsid w:val="00B71C92"/>
    <w:rsid w:val="00B724B3"/>
    <w:rsid w:val="00B73344"/>
    <w:rsid w:val="00B739E0"/>
    <w:rsid w:val="00B73E5A"/>
    <w:rsid w:val="00B7401C"/>
    <w:rsid w:val="00B74AF3"/>
    <w:rsid w:val="00B7598C"/>
    <w:rsid w:val="00B7613E"/>
    <w:rsid w:val="00B77556"/>
    <w:rsid w:val="00B808DD"/>
    <w:rsid w:val="00B813A9"/>
    <w:rsid w:val="00B81E6F"/>
    <w:rsid w:val="00B8205F"/>
    <w:rsid w:val="00B82319"/>
    <w:rsid w:val="00B82B61"/>
    <w:rsid w:val="00B82BBB"/>
    <w:rsid w:val="00B82C06"/>
    <w:rsid w:val="00B83551"/>
    <w:rsid w:val="00B86A77"/>
    <w:rsid w:val="00B8739A"/>
    <w:rsid w:val="00B87F24"/>
    <w:rsid w:val="00B903E4"/>
    <w:rsid w:val="00B90C22"/>
    <w:rsid w:val="00B91856"/>
    <w:rsid w:val="00B9261F"/>
    <w:rsid w:val="00B95174"/>
    <w:rsid w:val="00B961FB"/>
    <w:rsid w:val="00B9699F"/>
    <w:rsid w:val="00B97F68"/>
    <w:rsid w:val="00BA0466"/>
    <w:rsid w:val="00BA0B39"/>
    <w:rsid w:val="00BA2260"/>
    <w:rsid w:val="00BA2A46"/>
    <w:rsid w:val="00BA2EE2"/>
    <w:rsid w:val="00BA3902"/>
    <w:rsid w:val="00BA4065"/>
    <w:rsid w:val="00BA4075"/>
    <w:rsid w:val="00BA41CD"/>
    <w:rsid w:val="00BA4B15"/>
    <w:rsid w:val="00BA4E06"/>
    <w:rsid w:val="00BA6D6C"/>
    <w:rsid w:val="00BA6E8F"/>
    <w:rsid w:val="00BA6EED"/>
    <w:rsid w:val="00BA7542"/>
    <w:rsid w:val="00BB13FB"/>
    <w:rsid w:val="00BB3BB1"/>
    <w:rsid w:val="00BB44AE"/>
    <w:rsid w:val="00BB6FB9"/>
    <w:rsid w:val="00BB7E36"/>
    <w:rsid w:val="00BC05E9"/>
    <w:rsid w:val="00BC0DD5"/>
    <w:rsid w:val="00BC124D"/>
    <w:rsid w:val="00BC2598"/>
    <w:rsid w:val="00BC3547"/>
    <w:rsid w:val="00BC5434"/>
    <w:rsid w:val="00BC563A"/>
    <w:rsid w:val="00BC5951"/>
    <w:rsid w:val="00BC6713"/>
    <w:rsid w:val="00BC7BD8"/>
    <w:rsid w:val="00BC7D65"/>
    <w:rsid w:val="00BD0497"/>
    <w:rsid w:val="00BD0FCE"/>
    <w:rsid w:val="00BD13B9"/>
    <w:rsid w:val="00BD15EF"/>
    <w:rsid w:val="00BD20EA"/>
    <w:rsid w:val="00BD2414"/>
    <w:rsid w:val="00BD2565"/>
    <w:rsid w:val="00BD2A95"/>
    <w:rsid w:val="00BD3A04"/>
    <w:rsid w:val="00BD40EF"/>
    <w:rsid w:val="00BD4295"/>
    <w:rsid w:val="00BD461A"/>
    <w:rsid w:val="00BD4B7B"/>
    <w:rsid w:val="00BD5300"/>
    <w:rsid w:val="00BD659F"/>
    <w:rsid w:val="00BD6677"/>
    <w:rsid w:val="00BD68CA"/>
    <w:rsid w:val="00BD719D"/>
    <w:rsid w:val="00BE08C2"/>
    <w:rsid w:val="00BE0900"/>
    <w:rsid w:val="00BE2DE8"/>
    <w:rsid w:val="00BE3756"/>
    <w:rsid w:val="00BE3D8B"/>
    <w:rsid w:val="00BE530C"/>
    <w:rsid w:val="00BE7FE2"/>
    <w:rsid w:val="00BF0FFF"/>
    <w:rsid w:val="00BF2616"/>
    <w:rsid w:val="00BF29FA"/>
    <w:rsid w:val="00BF3078"/>
    <w:rsid w:val="00BF3605"/>
    <w:rsid w:val="00BF3812"/>
    <w:rsid w:val="00BF3CBA"/>
    <w:rsid w:val="00BF4C1D"/>
    <w:rsid w:val="00BF5D0E"/>
    <w:rsid w:val="00BF6FC5"/>
    <w:rsid w:val="00C018AF"/>
    <w:rsid w:val="00C01914"/>
    <w:rsid w:val="00C02C8D"/>
    <w:rsid w:val="00C044CA"/>
    <w:rsid w:val="00C04714"/>
    <w:rsid w:val="00C05DE7"/>
    <w:rsid w:val="00C06F4D"/>
    <w:rsid w:val="00C07E85"/>
    <w:rsid w:val="00C109B6"/>
    <w:rsid w:val="00C110B6"/>
    <w:rsid w:val="00C11436"/>
    <w:rsid w:val="00C1164D"/>
    <w:rsid w:val="00C11767"/>
    <w:rsid w:val="00C122DB"/>
    <w:rsid w:val="00C12663"/>
    <w:rsid w:val="00C130A3"/>
    <w:rsid w:val="00C13A06"/>
    <w:rsid w:val="00C1400E"/>
    <w:rsid w:val="00C14224"/>
    <w:rsid w:val="00C146D3"/>
    <w:rsid w:val="00C14BB6"/>
    <w:rsid w:val="00C14D94"/>
    <w:rsid w:val="00C1524F"/>
    <w:rsid w:val="00C158B8"/>
    <w:rsid w:val="00C15915"/>
    <w:rsid w:val="00C15D5A"/>
    <w:rsid w:val="00C163F0"/>
    <w:rsid w:val="00C167DD"/>
    <w:rsid w:val="00C169F0"/>
    <w:rsid w:val="00C16E4B"/>
    <w:rsid w:val="00C17002"/>
    <w:rsid w:val="00C17B68"/>
    <w:rsid w:val="00C20030"/>
    <w:rsid w:val="00C20078"/>
    <w:rsid w:val="00C2008D"/>
    <w:rsid w:val="00C21C5E"/>
    <w:rsid w:val="00C21F1C"/>
    <w:rsid w:val="00C2219E"/>
    <w:rsid w:val="00C23E15"/>
    <w:rsid w:val="00C242DC"/>
    <w:rsid w:val="00C2447F"/>
    <w:rsid w:val="00C2459F"/>
    <w:rsid w:val="00C24776"/>
    <w:rsid w:val="00C25CEC"/>
    <w:rsid w:val="00C26EED"/>
    <w:rsid w:val="00C27079"/>
    <w:rsid w:val="00C2788D"/>
    <w:rsid w:val="00C305B8"/>
    <w:rsid w:val="00C3097C"/>
    <w:rsid w:val="00C31ADF"/>
    <w:rsid w:val="00C323DB"/>
    <w:rsid w:val="00C33444"/>
    <w:rsid w:val="00C34064"/>
    <w:rsid w:val="00C34A06"/>
    <w:rsid w:val="00C352D2"/>
    <w:rsid w:val="00C35B32"/>
    <w:rsid w:val="00C37FAA"/>
    <w:rsid w:val="00C4318C"/>
    <w:rsid w:val="00C435F6"/>
    <w:rsid w:val="00C438D4"/>
    <w:rsid w:val="00C43B7A"/>
    <w:rsid w:val="00C43C97"/>
    <w:rsid w:val="00C44525"/>
    <w:rsid w:val="00C4497F"/>
    <w:rsid w:val="00C455E0"/>
    <w:rsid w:val="00C460AA"/>
    <w:rsid w:val="00C47CD1"/>
    <w:rsid w:val="00C50E30"/>
    <w:rsid w:val="00C520FE"/>
    <w:rsid w:val="00C52261"/>
    <w:rsid w:val="00C5391D"/>
    <w:rsid w:val="00C53E25"/>
    <w:rsid w:val="00C546D2"/>
    <w:rsid w:val="00C54E9C"/>
    <w:rsid w:val="00C551CE"/>
    <w:rsid w:val="00C5622B"/>
    <w:rsid w:val="00C56AAA"/>
    <w:rsid w:val="00C56B53"/>
    <w:rsid w:val="00C572BD"/>
    <w:rsid w:val="00C57499"/>
    <w:rsid w:val="00C60BB2"/>
    <w:rsid w:val="00C611D7"/>
    <w:rsid w:val="00C615A3"/>
    <w:rsid w:val="00C61CE6"/>
    <w:rsid w:val="00C61E9F"/>
    <w:rsid w:val="00C631E2"/>
    <w:rsid w:val="00C637B8"/>
    <w:rsid w:val="00C63B45"/>
    <w:rsid w:val="00C63CA7"/>
    <w:rsid w:val="00C642D0"/>
    <w:rsid w:val="00C653E9"/>
    <w:rsid w:val="00C65C28"/>
    <w:rsid w:val="00C662C8"/>
    <w:rsid w:val="00C6670F"/>
    <w:rsid w:val="00C66878"/>
    <w:rsid w:val="00C67012"/>
    <w:rsid w:val="00C6724F"/>
    <w:rsid w:val="00C675DC"/>
    <w:rsid w:val="00C7039E"/>
    <w:rsid w:val="00C71136"/>
    <w:rsid w:val="00C73A01"/>
    <w:rsid w:val="00C73B7E"/>
    <w:rsid w:val="00C752C3"/>
    <w:rsid w:val="00C75546"/>
    <w:rsid w:val="00C81507"/>
    <w:rsid w:val="00C82244"/>
    <w:rsid w:val="00C82964"/>
    <w:rsid w:val="00C82CA2"/>
    <w:rsid w:val="00C84950"/>
    <w:rsid w:val="00C84A64"/>
    <w:rsid w:val="00C84C56"/>
    <w:rsid w:val="00C8618F"/>
    <w:rsid w:val="00C8632C"/>
    <w:rsid w:val="00C871A2"/>
    <w:rsid w:val="00C90EE5"/>
    <w:rsid w:val="00C91176"/>
    <w:rsid w:val="00C9145A"/>
    <w:rsid w:val="00C93329"/>
    <w:rsid w:val="00C9344B"/>
    <w:rsid w:val="00C93996"/>
    <w:rsid w:val="00C9469A"/>
    <w:rsid w:val="00C94AB2"/>
    <w:rsid w:val="00C9589B"/>
    <w:rsid w:val="00C95E64"/>
    <w:rsid w:val="00C95E8E"/>
    <w:rsid w:val="00C969E8"/>
    <w:rsid w:val="00C96FA4"/>
    <w:rsid w:val="00C97248"/>
    <w:rsid w:val="00C97C12"/>
    <w:rsid w:val="00C97CB2"/>
    <w:rsid w:val="00C97D17"/>
    <w:rsid w:val="00CA05D9"/>
    <w:rsid w:val="00CA0865"/>
    <w:rsid w:val="00CA1FFE"/>
    <w:rsid w:val="00CA32E2"/>
    <w:rsid w:val="00CA3C2E"/>
    <w:rsid w:val="00CA3EF4"/>
    <w:rsid w:val="00CA4DEC"/>
    <w:rsid w:val="00CA6298"/>
    <w:rsid w:val="00CA79BC"/>
    <w:rsid w:val="00CA7B55"/>
    <w:rsid w:val="00CB1403"/>
    <w:rsid w:val="00CB3732"/>
    <w:rsid w:val="00CB3D68"/>
    <w:rsid w:val="00CB48AB"/>
    <w:rsid w:val="00CB4F01"/>
    <w:rsid w:val="00CB57AA"/>
    <w:rsid w:val="00CB66DE"/>
    <w:rsid w:val="00CB7B53"/>
    <w:rsid w:val="00CB7E04"/>
    <w:rsid w:val="00CC06FD"/>
    <w:rsid w:val="00CC0FE7"/>
    <w:rsid w:val="00CC307B"/>
    <w:rsid w:val="00CC4F44"/>
    <w:rsid w:val="00CC52D7"/>
    <w:rsid w:val="00CC6826"/>
    <w:rsid w:val="00CD0BB0"/>
    <w:rsid w:val="00CD129D"/>
    <w:rsid w:val="00CD185C"/>
    <w:rsid w:val="00CD18E7"/>
    <w:rsid w:val="00CD1E5C"/>
    <w:rsid w:val="00CD260E"/>
    <w:rsid w:val="00CD563F"/>
    <w:rsid w:val="00CD5D4D"/>
    <w:rsid w:val="00CD5EE0"/>
    <w:rsid w:val="00CD62F4"/>
    <w:rsid w:val="00CD713C"/>
    <w:rsid w:val="00CD722C"/>
    <w:rsid w:val="00CD7A82"/>
    <w:rsid w:val="00CD844B"/>
    <w:rsid w:val="00CE026A"/>
    <w:rsid w:val="00CE169E"/>
    <w:rsid w:val="00CE2316"/>
    <w:rsid w:val="00CE3C7D"/>
    <w:rsid w:val="00CE3D08"/>
    <w:rsid w:val="00CE4C0E"/>
    <w:rsid w:val="00CE4E4E"/>
    <w:rsid w:val="00CE4F26"/>
    <w:rsid w:val="00CE56AF"/>
    <w:rsid w:val="00CE59A3"/>
    <w:rsid w:val="00CE5DF6"/>
    <w:rsid w:val="00CE7039"/>
    <w:rsid w:val="00CE73A3"/>
    <w:rsid w:val="00CE74C9"/>
    <w:rsid w:val="00CE784C"/>
    <w:rsid w:val="00CF00C9"/>
    <w:rsid w:val="00CF0A8D"/>
    <w:rsid w:val="00CF0DAF"/>
    <w:rsid w:val="00CF173E"/>
    <w:rsid w:val="00CF32A5"/>
    <w:rsid w:val="00CF4256"/>
    <w:rsid w:val="00CF785F"/>
    <w:rsid w:val="00D006C5"/>
    <w:rsid w:val="00D01855"/>
    <w:rsid w:val="00D02439"/>
    <w:rsid w:val="00D034CC"/>
    <w:rsid w:val="00D05F22"/>
    <w:rsid w:val="00D061BF"/>
    <w:rsid w:val="00D06CE7"/>
    <w:rsid w:val="00D06DB8"/>
    <w:rsid w:val="00D07BFE"/>
    <w:rsid w:val="00D106E9"/>
    <w:rsid w:val="00D11466"/>
    <w:rsid w:val="00D119D4"/>
    <w:rsid w:val="00D11AE0"/>
    <w:rsid w:val="00D1232E"/>
    <w:rsid w:val="00D128E6"/>
    <w:rsid w:val="00D12B49"/>
    <w:rsid w:val="00D12BEF"/>
    <w:rsid w:val="00D1426F"/>
    <w:rsid w:val="00D146B5"/>
    <w:rsid w:val="00D149EE"/>
    <w:rsid w:val="00D14A96"/>
    <w:rsid w:val="00D1528B"/>
    <w:rsid w:val="00D15600"/>
    <w:rsid w:val="00D1586E"/>
    <w:rsid w:val="00D15875"/>
    <w:rsid w:val="00D21145"/>
    <w:rsid w:val="00D215DA"/>
    <w:rsid w:val="00D218DC"/>
    <w:rsid w:val="00D21FE5"/>
    <w:rsid w:val="00D2201E"/>
    <w:rsid w:val="00D22FAF"/>
    <w:rsid w:val="00D23EF3"/>
    <w:rsid w:val="00D23FDA"/>
    <w:rsid w:val="00D24C20"/>
    <w:rsid w:val="00D24CBB"/>
    <w:rsid w:val="00D254A3"/>
    <w:rsid w:val="00D25BF6"/>
    <w:rsid w:val="00D25C76"/>
    <w:rsid w:val="00D25E54"/>
    <w:rsid w:val="00D26113"/>
    <w:rsid w:val="00D2766E"/>
    <w:rsid w:val="00D277CA"/>
    <w:rsid w:val="00D27A9B"/>
    <w:rsid w:val="00D30846"/>
    <w:rsid w:val="00D30CE7"/>
    <w:rsid w:val="00D32B90"/>
    <w:rsid w:val="00D333E3"/>
    <w:rsid w:val="00D334C7"/>
    <w:rsid w:val="00D336A8"/>
    <w:rsid w:val="00D33AF9"/>
    <w:rsid w:val="00D34AE5"/>
    <w:rsid w:val="00D35EAC"/>
    <w:rsid w:val="00D36987"/>
    <w:rsid w:val="00D37132"/>
    <w:rsid w:val="00D37190"/>
    <w:rsid w:val="00D3741F"/>
    <w:rsid w:val="00D378DE"/>
    <w:rsid w:val="00D37EF0"/>
    <w:rsid w:val="00D40674"/>
    <w:rsid w:val="00D4082A"/>
    <w:rsid w:val="00D41C82"/>
    <w:rsid w:val="00D42CB3"/>
    <w:rsid w:val="00D43A90"/>
    <w:rsid w:val="00D44187"/>
    <w:rsid w:val="00D443C6"/>
    <w:rsid w:val="00D449F5"/>
    <w:rsid w:val="00D44C7F"/>
    <w:rsid w:val="00D4510E"/>
    <w:rsid w:val="00D46450"/>
    <w:rsid w:val="00D46A1A"/>
    <w:rsid w:val="00D46B3F"/>
    <w:rsid w:val="00D46FE7"/>
    <w:rsid w:val="00D51F4D"/>
    <w:rsid w:val="00D52133"/>
    <w:rsid w:val="00D52A47"/>
    <w:rsid w:val="00D53B94"/>
    <w:rsid w:val="00D53BF2"/>
    <w:rsid w:val="00D53DF8"/>
    <w:rsid w:val="00D54072"/>
    <w:rsid w:val="00D5444D"/>
    <w:rsid w:val="00D54480"/>
    <w:rsid w:val="00D54640"/>
    <w:rsid w:val="00D54D60"/>
    <w:rsid w:val="00D5698D"/>
    <w:rsid w:val="00D572D2"/>
    <w:rsid w:val="00D60146"/>
    <w:rsid w:val="00D6026B"/>
    <w:rsid w:val="00D61031"/>
    <w:rsid w:val="00D61CD2"/>
    <w:rsid w:val="00D61D77"/>
    <w:rsid w:val="00D6333A"/>
    <w:rsid w:val="00D6333F"/>
    <w:rsid w:val="00D6352D"/>
    <w:rsid w:val="00D63CCA"/>
    <w:rsid w:val="00D64482"/>
    <w:rsid w:val="00D64E7C"/>
    <w:rsid w:val="00D65AF4"/>
    <w:rsid w:val="00D66651"/>
    <w:rsid w:val="00D66C86"/>
    <w:rsid w:val="00D673FE"/>
    <w:rsid w:val="00D70818"/>
    <w:rsid w:val="00D70C82"/>
    <w:rsid w:val="00D719E0"/>
    <w:rsid w:val="00D71AC4"/>
    <w:rsid w:val="00D71E7E"/>
    <w:rsid w:val="00D72A9E"/>
    <w:rsid w:val="00D73581"/>
    <w:rsid w:val="00D7395C"/>
    <w:rsid w:val="00D74687"/>
    <w:rsid w:val="00D7495B"/>
    <w:rsid w:val="00D7577B"/>
    <w:rsid w:val="00D763C2"/>
    <w:rsid w:val="00D76DA5"/>
    <w:rsid w:val="00D77EF7"/>
    <w:rsid w:val="00D77F1A"/>
    <w:rsid w:val="00D80EB4"/>
    <w:rsid w:val="00D80EFB"/>
    <w:rsid w:val="00D8102A"/>
    <w:rsid w:val="00D82353"/>
    <w:rsid w:val="00D827C3"/>
    <w:rsid w:val="00D82E64"/>
    <w:rsid w:val="00D83085"/>
    <w:rsid w:val="00D837CC"/>
    <w:rsid w:val="00D83931"/>
    <w:rsid w:val="00D83BFB"/>
    <w:rsid w:val="00D84C52"/>
    <w:rsid w:val="00D857E0"/>
    <w:rsid w:val="00D86994"/>
    <w:rsid w:val="00D877FE"/>
    <w:rsid w:val="00D92B26"/>
    <w:rsid w:val="00D937EE"/>
    <w:rsid w:val="00D93AD6"/>
    <w:rsid w:val="00D942F8"/>
    <w:rsid w:val="00D94F86"/>
    <w:rsid w:val="00D95A91"/>
    <w:rsid w:val="00D96138"/>
    <w:rsid w:val="00D97923"/>
    <w:rsid w:val="00DA04EB"/>
    <w:rsid w:val="00DA0A20"/>
    <w:rsid w:val="00DA277A"/>
    <w:rsid w:val="00DA48DA"/>
    <w:rsid w:val="00DA58F3"/>
    <w:rsid w:val="00DA6E38"/>
    <w:rsid w:val="00DA76C3"/>
    <w:rsid w:val="00DA7BF5"/>
    <w:rsid w:val="00DB10B0"/>
    <w:rsid w:val="00DB12E0"/>
    <w:rsid w:val="00DB2457"/>
    <w:rsid w:val="00DB29A0"/>
    <w:rsid w:val="00DB32CC"/>
    <w:rsid w:val="00DB332A"/>
    <w:rsid w:val="00DB37B6"/>
    <w:rsid w:val="00DB405F"/>
    <w:rsid w:val="00DB47AB"/>
    <w:rsid w:val="00DB6181"/>
    <w:rsid w:val="00DC001F"/>
    <w:rsid w:val="00DC04F0"/>
    <w:rsid w:val="00DC082E"/>
    <w:rsid w:val="00DC0B85"/>
    <w:rsid w:val="00DC1BA4"/>
    <w:rsid w:val="00DC1BC6"/>
    <w:rsid w:val="00DC1F40"/>
    <w:rsid w:val="00DC2763"/>
    <w:rsid w:val="00DC2CB5"/>
    <w:rsid w:val="00DC3931"/>
    <w:rsid w:val="00DC4A4E"/>
    <w:rsid w:val="00DC4C02"/>
    <w:rsid w:val="00DC52B4"/>
    <w:rsid w:val="00DC543B"/>
    <w:rsid w:val="00DC6585"/>
    <w:rsid w:val="00DC6CB1"/>
    <w:rsid w:val="00DC7042"/>
    <w:rsid w:val="00DC708F"/>
    <w:rsid w:val="00DC71AF"/>
    <w:rsid w:val="00DC71C4"/>
    <w:rsid w:val="00DC7AA4"/>
    <w:rsid w:val="00DC7C06"/>
    <w:rsid w:val="00DD029F"/>
    <w:rsid w:val="00DD0A72"/>
    <w:rsid w:val="00DD10AB"/>
    <w:rsid w:val="00DD15C7"/>
    <w:rsid w:val="00DD3404"/>
    <w:rsid w:val="00DD4B95"/>
    <w:rsid w:val="00DD5993"/>
    <w:rsid w:val="00DD6025"/>
    <w:rsid w:val="00DD61B6"/>
    <w:rsid w:val="00DE01B2"/>
    <w:rsid w:val="00DE0A72"/>
    <w:rsid w:val="00DE2D01"/>
    <w:rsid w:val="00DE36CA"/>
    <w:rsid w:val="00DE40B7"/>
    <w:rsid w:val="00DE4111"/>
    <w:rsid w:val="00DE496C"/>
    <w:rsid w:val="00DE4C8F"/>
    <w:rsid w:val="00DE4F01"/>
    <w:rsid w:val="00DE6640"/>
    <w:rsid w:val="00DE677E"/>
    <w:rsid w:val="00DE683A"/>
    <w:rsid w:val="00DE6FE8"/>
    <w:rsid w:val="00DE7C45"/>
    <w:rsid w:val="00DF04A7"/>
    <w:rsid w:val="00DF1412"/>
    <w:rsid w:val="00DF1930"/>
    <w:rsid w:val="00DF42C6"/>
    <w:rsid w:val="00DF4DCA"/>
    <w:rsid w:val="00DF5079"/>
    <w:rsid w:val="00DF5700"/>
    <w:rsid w:val="00DF709C"/>
    <w:rsid w:val="00E000E3"/>
    <w:rsid w:val="00E00D78"/>
    <w:rsid w:val="00E015E4"/>
    <w:rsid w:val="00E028C5"/>
    <w:rsid w:val="00E029C6"/>
    <w:rsid w:val="00E03F61"/>
    <w:rsid w:val="00E054C0"/>
    <w:rsid w:val="00E05845"/>
    <w:rsid w:val="00E07206"/>
    <w:rsid w:val="00E10E58"/>
    <w:rsid w:val="00E1104C"/>
    <w:rsid w:val="00E1117D"/>
    <w:rsid w:val="00E111E0"/>
    <w:rsid w:val="00E11B92"/>
    <w:rsid w:val="00E11F86"/>
    <w:rsid w:val="00E12FA8"/>
    <w:rsid w:val="00E131EE"/>
    <w:rsid w:val="00E132F3"/>
    <w:rsid w:val="00E147AB"/>
    <w:rsid w:val="00E15537"/>
    <w:rsid w:val="00E155E4"/>
    <w:rsid w:val="00E15E31"/>
    <w:rsid w:val="00E162C4"/>
    <w:rsid w:val="00E20339"/>
    <w:rsid w:val="00E20D74"/>
    <w:rsid w:val="00E212D5"/>
    <w:rsid w:val="00E21D6A"/>
    <w:rsid w:val="00E22C40"/>
    <w:rsid w:val="00E23C7D"/>
    <w:rsid w:val="00E2460D"/>
    <w:rsid w:val="00E24A1A"/>
    <w:rsid w:val="00E24AF7"/>
    <w:rsid w:val="00E255B0"/>
    <w:rsid w:val="00E25ED6"/>
    <w:rsid w:val="00E2631F"/>
    <w:rsid w:val="00E3035C"/>
    <w:rsid w:val="00E30550"/>
    <w:rsid w:val="00E30E10"/>
    <w:rsid w:val="00E31134"/>
    <w:rsid w:val="00E311D3"/>
    <w:rsid w:val="00E34270"/>
    <w:rsid w:val="00E35024"/>
    <w:rsid w:val="00E3521A"/>
    <w:rsid w:val="00E35289"/>
    <w:rsid w:val="00E359C0"/>
    <w:rsid w:val="00E35A35"/>
    <w:rsid w:val="00E36FEB"/>
    <w:rsid w:val="00E370C3"/>
    <w:rsid w:val="00E37284"/>
    <w:rsid w:val="00E37D1A"/>
    <w:rsid w:val="00E41342"/>
    <w:rsid w:val="00E43907"/>
    <w:rsid w:val="00E43AFD"/>
    <w:rsid w:val="00E43DEA"/>
    <w:rsid w:val="00E44524"/>
    <w:rsid w:val="00E44567"/>
    <w:rsid w:val="00E44761"/>
    <w:rsid w:val="00E45246"/>
    <w:rsid w:val="00E45FFC"/>
    <w:rsid w:val="00E473AD"/>
    <w:rsid w:val="00E474F3"/>
    <w:rsid w:val="00E50700"/>
    <w:rsid w:val="00E51C82"/>
    <w:rsid w:val="00E51FCE"/>
    <w:rsid w:val="00E53CB9"/>
    <w:rsid w:val="00E542F3"/>
    <w:rsid w:val="00E56796"/>
    <w:rsid w:val="00E57D4D"/>
    <w:rsid w:val="00E62551"/>
    <w:rsid w:val="00E627EC"/>
    <w:rsid w:val="00E6329A"/>
    <w:rsid w:val="00E632C3"/>
    <w:rsid w:val="00E64CF7"/>
    <w:rsid w:val="00E6575C"/>
    <w:rsid w:val="00E65844"/>
    <w:rsid w:val="00E66E92"/>
    <w:rsid w:val="00E7062A"/>
    <w:rsid w:val="00E70CA1"/>
    <w:rsid w:val="00E7291F"/>
    <w:rsid w:val="00E72A17"/>
    <w:rsid w:val="00E736D7"/>
    <w:rsid w:val="00E7376F"/>
    <w:rsid w:val="00E757BC"/>
    <w:rsid w:val="00E760B3"/>
    <w:rsid w:val="00E76125"/>
    <w:rsid w:val="00E76719"/>
    <w:rsid w:val="00E770A6"/>
    <w:rsid w:val="00E7793F"/>
    <w:rsid w:val="00E80464"/>
    <w:rsid w:val="00E81A5D"/>
    <w:rsid w:val="00E834C0"/>
    <w:rsid w:val="00E8377A"/>
    <w:rsid w:val="00E83789"/>
    <w:rsid w:val="00E839B1"/>
    <w:rsid w:val="00E8476B"/>
    <w:rsid w:val="00E8495C"/>
    <w:rsid w:val="00E858BA"/>
    <w:rsid w:val="00E8669E"/>
    <w:rsid w:val="00E8744F"/>
    <w:rsid w:val="00E90C0F"/>
    <w:rsid w:val="00E91C83"/>
    <w:rsid w:val="00E9216D"/>
    <w:rsid w:val="00E92569"/>
    <w:rsid w:val="00E94987"/>
    <w:rsid w:val="00E96C64"/>
    <w:rsid w:val="00E97D4A"/>
    <w:rsid w:val="00EA1C51"/>
    <w:rsid w:val="00EA2963"/>
    <w:rsid w:val="00EA2DBA"/>
    <w:rsid w:val="00EA3D47"/>
    <w:rsid w:val="00EA4FF8"/>
    <w:rsid w:val="00EA696D"/>
    <w:rsid w:val="00EA758D"/>
    <w:rsid w:val="00EB0D8F"/>
    <w:rsid w:val="00EB0F4C"/>
    <w:rsid w:val="00EB1713"/>
    <w:rsid w:val="00EB17B4"/>
    <w:rsid w:val="00EB1895"/>
    <w:rsid w:val="00EB1B23"/>
    <w:rsid w:val="00EB25E0"/>
    <w:rsid w:val="00EB2F8D"/>
    <w:rsid w:val="00EB34A7"/>
    <w:rsid w:val="00EB4175"/>
    <w:rsid w:val="00EB49BA"/>
    <w:rsid w:val="00EB4E21"/>
    <w:rsid w:val="00EB5532"/>
    <w:rsid w:val="00EB6BFE"/>
    <w:rsid w:val="00EB79EF"/>
    <w:rsid w:val="00EB7A40"/>
    <w:rsid w:val="00EC01EB"/>
    <w:rsid w:val="00EC08F3"/>
    <w:rsid w:val="00EC32CC"/>
    <w:rsid w:val="00EC38C0"/>
    <w:rsid w:val="00EC4F0C"/>
    <w:rsid w:val="00EC541E"/>
    <w:rsid w:val="00EC545D"/>
    <w:rsid w:val="00EC61EB"/>
    <w:rsid w:val="00ED06AF"/>
    <w:rsid w:val="00ED0A62"/>
    <w:rsid w:val="00ED12D7"/>
    <w:rsid w:val="00ED1B4A"/>
    <w:rsid w:val="00ED2129"/>
    <w:rsid w:val="00ED2438"/>
    <w:rsid w:val="00ED27A3"/>
    <w:rsid w:val="00ED35BC"/>
    <w:rsid w:val="00ED44A6"/>
    <w:rsid w:val="00ED44B6"/>
    <w:rsid w:val="00ED4ED8"/>
    <w:rsid w:val="00ED5D73"/>
    <w:rsid w:val="00ED69D3"/>
    <w:rsid w:val="00ED6F58"/>
    <w:rsid w:val="00ED7414"/>
    <w:rsid w:val="00ED7C97"/>
    <w:rsid w:val="00EE077A"/>
    <w:rsid w:val="00EE17E3"/>
    <w:rsid w:val="00EE30A9"/>
    <w:rsid w:val="00EE39D6"/>
    <w:rsid w:val="00EE4CF7"/>
    <w:rsid w:val="00EE544B"/>
    <w:rsid w:val="00EE6A0A"/>
    <w:rsid w:val="00EE7128"/>
    <w:rsid w:val="00EE747E"/>
    <w:rsid w:val="00EE78DE"/>
    <w:rsid w:val="00EF09C7"/>
    <w:rsid w:val="00EF2B77"/>
    <w:rsid w:val="00EF3550"/>
    <w:rsid w:val="00EF453D"/>
    <w:rsid w:val="00EF591C"/>
    <w:rsid w:val="00EF5B3F"/>
    <w:rsid w:val="00EF6C89"/>
    <w:rsid w:val="00EF6CA9"/>
    <w:rsid w:val="00F007CC"/>
    <w:rsid w:val="00F0113F"/>
    <w:rsid w:val="00F014A3"/>
    <w:rsid w:val="00F0243D"/>
    <w:rsid w:val="00F03DFA"/>
    <w:rsid w:val="00F055F1"/>
    <w:rsid w:val="00F05765"/>
    <w:rsid w:val="00F059E1"/>
    <w:rsid w:val="00F06897"/>
    <w:rsid w:val="00F07376"/>
    <w:rsid w:val="00F07511"/>
    <w:rsid w:val="00F076F0"/>
    <w:rsid w:val="00F07DEC"/>
    <w:rsid w:val="00F112A5"/>
    <w:rsid w:val="00F11543"/>
    <w:rsid w:val="00F124FD"/>
    <w:rsid w:val="00F127D5"/>
    <w:rsid w:val="00F13397"/>
    <w:rsid w:val="00F143C1"/>
    <w:rsid w:val="00F21700"/>
    <w:rsid w:val="00F21EE3"/>
    <w:rsid w:val="00F2289C"/>
    <w:rsid w:val="00F22B6C"/>
    <w:rsid w:val="00F23369"/>
    <w:rsid w:val="00F24036"/>
    <w:rsid w:val="00F247A7"/>
    <w:rsid w:val="00F24822"/>
    <w:rsid w:val="00F24864"/>
    <w:rsid w:val="00F25464"/>
    <w:rsid w:val="00F259B1"/>
    <w:rsid w:val="00F26B6A"/>
    <w:rsid w:val="00F26BE7"/>
    <w:rsid w:val="00F26BEF"/>
    <w:rsid w:val="00F272E7"/>
    <w:rsid w:val="00F30C5E"/>
    <w:rsid w:val="00F3179A"/>
    <w:rsid w:val="00F330D1"/>
    <w:rsid w:val="00F33A8E"/>
    <w:rsid w:val="00F3467A"/>
    <w:rsid w:val="00F348B4"/>
    <w:rsid w:val="00F34E20"/>
    <w:rsid w:val="00F3511F"/>
    <w:rsid w:val="00F35846"/>
    <w:rsid w:val="00F367A4"/>
    <w:rsid w:val="00F41E29"/>
    <w:rsid w:val="00F422FB"/>
    <w:rsid w:val="00F4310B"/>
    <w:rsid w:val="00F438E7"/>
    <w:rsid w:val="00F443AE"/>
    <w:rsid w:val="00F4481E"/>
    <w:rsid w:val="00F46D31"/>
    <w:rsid w:val="00F476D4"/>
    <w:rsid w:val="00F47A40"/>
    <w:rsid w:val="00F52481"/>
    <w:rsid w:val="00F527EE"/>
    <w:rsid w:val="00F56C31"/>
    <w:rsid w:val="00F56EED"/>
    <w:rsid w:val="00F57388"/>
    <w:rsid w:val="00F579FF"/>
    <w:rsid w:val="00F61285"/>
    <w:rsid w:val="00F614FD"/>
    <w:rsid w:val="00F6228C"/>
    <w:rsid w:val="00F6239C"/>
    <w:rsid w:val="00F62922"/>
    <w:rsid w:val="00F62F15"/>
    <w:rsid w:val="00F6301C"/>
    <w:rsid w:val="00F64883"/>
    <w:rsid w:val="00F652E4"/>
    <w:rsid w:val="00F65D90"/>
    <w:rsid w:val="00F66EB2"/>
    <w:rsid w:val="00F6721B"/>
    <w:rsid w:val="00F67668"/>
    <w:rsid w:val="00F7057B"/>
    <w:rsid w:val="00F706E4"/>
    <w:rsid w:val="00F71423"/>
    <w:rsid w:val="00F7190E"/>
    <w:rsid w:val="00F74F1B"/>
    <w:rsid w:val="00F7570B"/>
    <w:rsid w:val="00F75715"/>
    <w:rsid w:val="00F75E8D"/>
    <w:rsid w:val="00F7619B"/>
    <w:rsid w:val="00F772AF"/>
    <w:rsid w:val="00F81865"/>
    <w:rsid w:val="00F823F3"/>
    <w:rsid w:val="00F829EA"/>
    <w:rsid w:val="00F84AB6"/>
    <w:rsid w:val="00F851D8"/>
    <w:rsid w:val="00F85961"/>
    <w:rsid w:val="00F85A49"/>
    <w:rsid w:val="00F86795"/>
    <w:rsid w:val="00F86805"/>
    <w:rsid w:val="00F86A4F"/>
    <w:rsid w:val="00F8786E"/>
    <w:rsid w:val="00F90524"/>
    <w:rsid w:val="00F92157"/>
    <w:rsid w:val="00F93E65"/>
    <w:rsid w:val="00F94140"/>
    <w:rsid w:val="00F94992"/>
    <w:rsid w:val="00F94AE8"/>
    <w:rsid w:val="00F96509"/>
    <w:rsid w:val="00F965A6"/>
    <w:rsid w:val="00F9662B"/>
    <w:rsid w:val="00F971E0"/>
    <w:rsid w:val="00FA00DD"/>
    <w:rsid w:val="00FA16E3"/>
    <w:rsid w:val="00FA18C8"/>
    <w:rsid w:val="00FA2091"/>
    <w:rsid w:val="00FA2389"/>
    <w:rsid w:val="00FA2576"/>
    <w:rsid w:val="00FA33F0"/>
    <w:rsid w:val="00FA3479"/>
    <w:rsid w:val="00FA4B36"/>
    <w:rsid w:val="00FA77B7"/>
    <w:rsid w:val="00FB010F"/>
    <w:rsid w:val="00FB05AB"/>
    <w:rsid w:val="00FB1734"/>
    <w:rsid w:val="00FB1FD3"/>
    <w:rsid w:val="00FB48DB"/>
    <w:rsid w:val="00FB4FCC"/>
    <w:rsid w:val="00FB64FF"/>
    <w:rsid w:val="00FB67B1"/>
    <w:rsid w:val="00FB7556"/>
    <w:rsid w:val="00FB7662"/>
    <w:rsid w:val="00FB77E2"/>
    <w:rsid w:val="00FC2605"/>
    <w:rsid w:val="00FC4332"/>
    <w:rsid w:val="00FC718D"/>
    <w:rsid w:val="00FC732D"/>
    <w:rsid w:val="00FD0C41"/>
    <w:rsid w:val="00FD0E11"/>
    <w:rsid w:val="00FD0F11"/>
    <w:rsid w:val="00FD3105"/>
    <w:rsid w:val="00FD347B"/>
    <w:rsid w:val="00FD36E0"/>
    <w:rsid w:val="00FD4B45"/>
    <w:rsid w:val="00FD67C7"/>
    <w:rsid w:val="00FD730D"/>
    <w:rsid w:val="00FD746D"/>
    <w:rsid w:val="00FD74C8"/>
    <w:rsid w:val="00FE0D3C"/>
    <w:rsid w:val="00FE11B7"/>
    <w:rsid w:val="00FE2B24"/>
    <w:rsid w:val="00FE4BC5"/>
    <w:rsid w:val="00FE51B5"/>
    <w:rsid w:val="00FE53C2"/>
    <w:rsid w:val="00FE5C50"/>
    <w:rsid w:val="00FE614D"/>
    <w:rsid w:val="00FE63E8"/>
    <w:rsid w:val="00FE6C0A"/>
    <w:rsid w:val="00FE7CBC"/>
    <w:rsid w:val="00FF0609"/>
    <w:rsid w:val="00FF082B"/>
    <w:rsid w:val="00FF0D69"/>
    <w:rsid w:val="00FF197E"/>
    <w:rsid w:val="00FF29BE"/>
    <w:rsid w:val="00FF3124"/>
    <w:rsid w:val="00FF3909"/>
    <w:rsid w:val="00FF3C58"/>
    <w:rsid w:val="00FF4464"/>
    <w:rsid w:val="00FF4EA5"/>
    <w:rsid w:val="00FF571C"/>
    <w:rsid w:val="00FF5730"/>
    <w:rsid w:val="00FF5A20"/>
    <w:rsid w:val="00FF5B70"/>
    <w:rsid w:val="00FF7035"/>
    <w:rsid w:val="01112D90"/>
    <w:rsid w:val="011B8D16"/>
    <w:rsid w:val="012F3935"/>
    <w:rsid w:val="0148B565"/>
    <w:rsid w:val="01FA653B"/>
    <w:rsid w:val="025C1AE9"/>
    <w:rsid w:val="0284105B"/>
    <w:rsid w:val="029DFAF1"/>
    <w:rsid w:val="02AFE634"/>
    <w:rsid w:val="02D088DA"/>
    <w:rsid w:val="030F3E60"/>
    <w:rsid w:val="03145C4D"/>
    <w:rsid w:val="035F2B08"/>
    <w:rsid w:val="03A230B9"/>
    <w:rsid w:val="03A5AA2C"/>
    <w:rsid w:val="03AFABD7"/>
    <w:rsid w:val="03B202BA"/>
    <w:rsid w:val="03DA6A44"/>
    <w:rsid w:val="03F1ABED"/>
    <w:rsid w:val="03FE9A4B"/>
    <w:rsid w:val="045713F7"/>
    <w:rsid w:val="04736E31"/>
    <w:rsid w:val="04824DA3"/>
    <w:rsid w:val="049FAF53"/>
    <w:rsid w:val="04C3BAE2"/>
    <w:rsid w:val="04FA893E"/>
    <w:rsid w:val="0505F602"/>
    <w:rsid w:val="055788DA"/>
    <w:rsid w:val="058465FF"/>
    <w:rsid w:val="05A81C97"/>
    <w:rsid w:val="06EBA3DE"/>
    <w:rsid w:val="06F78505"/>
    <w:rsid w:val="07265A31"/>
    <w:rsid w:val="077C4B1D"/>
    <w:rsid w:val="078EB77B"/>
    <w:rsid w:val="079B96D1"/>
    <w:rsid w:val="07B09B25"/>
    <w:rsid w:val="08118C87"/>
    <w:rsid w:val="0833A364"/>
    <w:rsid w:val="084E5A70"/>
    <w:rsid w:val="086CBD31"/>
    <w:rsid w:val="0923AD95"/>
    <w:rsid w:val="09B0AC46"/>
    <w:rsid w:val="0A439E9A"/>
    <w:rsid w:val="0B17CDDD"/>
    <w:rsid w:val="0B2EAF45"/>
    <w:rsid w:val="0B70C230"/>
    <w:rsid w:val="0B7CE0A2"/>
    <w:rsid w:val="0BB83991"/>
    <w:rsid w:val="0BBE2234"/>
    <w:rsid w:val="0BC40492"/>
    <w:rsid w:val="0C1FDF46"/>
    <w:rsid w:val="0C29DC3C"/>
    <w:rsid w:val="0CBF988E"/>
    <w:rsid w:val="0CC9BF83"/>
    <w:rsid w:val="0CFE1208"/>
    <w:rsid w:val="0D1C3755"/>
    <w:rsid w:val="0D87D2C7"/>
    <w:rsid w:val="0DB32383"/>
    <w:rsid w:val="0E609BFA"/>
    <w:rsid w:val="0E85443B"/>
    <w:rsid w:val="0E8FC80F"/>
    <w:rsid w:val="0E9ABF7D"/>
    <w:rsid w:val="0EAC2132"/>
    <w:rsid w:val="0F0A2EAB"/>
    <w:rsid w:val="0F68661E"/>
    <w:rsid w:val="0FF6D6B0"/>
    <w:rsid w:val="103CE6D4"/>
    <w:rsid w:val="104635E1"/>
    <w:rsid w:val="107855DD"/>
    <w:rsid w:val="10A7865B"/>
    <w:rsid w:val="111A4357"/>
    <w:rsid w:val="111B0695"/>
    <w:rsid w:val="119764C0"/>
    <w:rsid w:val="11A3CF18"/>
    <w:rsid w:val="11AF0584"/>
    <w:rsid w:val="11C7908F"/>
    <w:rsid w:val="11D98FBB"/>
    <w:rsid w:val="1214EE4D"/>
    <w:rsid w:val="1231D921"/>
    <w:rsid w:val="12948A95"/>
    <w:rsid w:val="1297889F"/>
    <w:rsid w:val="129982F4"/>
    <w:rsid w:val="12A65E58"/>
    <w:rsid w:val="136B5850"/>
    <w:rsid w:val="13D3FDC3"/>
    <w:rsid w:val="13F649F6"/>
    <w:rsid w:val="143066A7"/>
    <w:rsid w:val="15B267F0"/>
    <w:rsid w:val="15BFCD2E"/>
    <w:rsid w:val="15CED49D"/>
    <w:rsid w:val="15E48BC2"/>
    <w:rsid w:val="16272ECA"/>
    <w:rsid w:val="162A8308"/>
    <w:rsid w:val="1658B941"/>
    <w:rsid w:val="1710994A"/>
    <w:rsid w:val="17994D56"/>
    <w:rsid w:val="1834506A"/>
    <w:rsid w:val="1843A830"/>
    <w:rsid w:val="184BD477"/>
    <w:rsid w:val="18C7375B"/>
    <w:rsid w:val="194188F4"/>
    <w:rsid w:val="195783BE"/>
    <w:rsid w:val="19B233D8"/>
    <w:rsid w:val="19F27724"/>
    <w:rsid w:val="19F65AF4"/>
    <w:rsid w:val="1A40250B"/>
    <w:rsid w:val="1A85EAFD"/>
    <w:rsid w:val="1AB45F4A"/>
    <w:rsid w:val="1B054BD6"/>
    <w:rsid w:val="1B06BD82"/>
    <w:rsid w:val="1B2007F9"/>
    <w:rsid w:val="1B2BBAD0"/>
    <w:rsid w:val="1B369D5E"/>
    <w:rsid w:val="1BAFB6B4"/>
    <w:rsid w:val="1BC07675"/>
    <w:rsid w:val="1BC95FC0"/>
    <w:rsid w:val="1BCCAA9D"/>
    <w:rsid w:val="1C1904BD"/>
    <w:rsid w:val="1C4A39AB"/>
    <w:rsid w:val="1C5321BD"/>
    <w:rsid w:val="1C563ACF"/>
    <w:rsid w:val="1C86ECA4"/>
    <w:rsid w:val="1CB0C395"/>
    <w:rsid w:val="1CDD5ADC"/>
    <w:rsid w:val="1CEE9210"/>
    <w:rsid w:val="1D42AF56"/>
    <w:rsid w:val="1F3BFA54"/>
    <w:rsid w:val="1F53BB96"/>
    <w:rsid w:val="1F7E1A02"/>
    <w:rsid w:val="1F9226A5"/>
    <w:rsid w:val="1FFB9758"/>
    <w:rsid w:val="1FFDCB92"/>
    <w:rsid w:val="2007B110"/>
    <w:rsid w:val="2051C54F"/>
    <w:rsid w:val="206AE3D7"/>
    <w:rsid w:val="208AB1AF"/>
    <w:rsid w:val="20BE5616"/>
    <w:rsid w:val="210292BA"/>
    <w:rsid w:val="21133B6D"/>
    <w:rsid w:val="211E8C90"/>
    <w:rsid w:val="21C01533"/>
    <w:rsid w:val="21DD01F5"/>
    <w:rsid w:val="22B2E51B"/>
    <w:rsid w:val="22C130E8"/>
    <w:rsid w:val="22E699DA"/>
    <w:rsid w:val="22F51143"/>
    <w:rsid w:val="234DC129"/>
    <w:rsid w:val="23A0DD16"/>
    <w:rsid w:val="23B089A7"/>
    <w:rsid w:val="23C044FF"/>
    <w:rsid w:val="23E93C10"/>
    <w:rsid w:val="2405E6E3"/>
    <w:rsid w:val="2447EC39"/>
    <w:rsid w:val="246518FF"/>
    <w:rsid w:val="2467B104"/>
    <w:rsid w:val="2482F50D"/>
    <w:rsid w:val="249D3192"/>
    <w:rsid w:val="24AA690F"/>
    <w:rsid w:val="250DA976"/>
    <w:rsid w:val="25397434"/>
    <w:rsid w:val="25647E93"/>
    <w:rsid w:val="2597D6A9"/>
    <w:rsid w:val="25A02782"/>
    <w:rsid w:val="25EECF2D"/>
    <w:rsid w:val="26292409"/>
    <w:rsid w:val="2674E6C0"/>
    <w:rsid w:val="267BDCB3"/>
    <w:rsid w:val="277F27AA"/>
    <w:rsid w:val="27DF92E0"/>
    <w:rsid w:val="27E747E7"/>
    <w:rsid w:val="28057C18"/>
    <w:rsid w:val="2821BF39"/>
    <w:rsid w:val="28472A9D"/>
    <w:rsid w:val="2868BA83"/>
    <w:rsid w:val="288A95EB"/>
    <w:rsid w:val="28D84E39"/>
    <w:rsid w:val="28ED389D"/>
    <w:rsid w:val="28F624AC"/>
    <w:rsid w:val="29128EC0"/>
    <w:rsid w:val="293CF300"/>
    <w:rsid w:val="295464B0"/>
    <w:rsid w:val="2971DCF0"/>
    <w:rsid w:val="2A12C0A7"/>
    <w:rsid w:val="2A2D4ABB"/>
    <w:rsid w:val="2A4C1825"/>
    <w:rsid w:val="2A5261E7"/>
    <w:rsid w:val="2A5B0B2E"/>
    <w:rsid w:val="2A74A612"/>
    <w:rsid w:val="2A7BCD10"/>
    <w:rsid w:val="2A833DB0"/>
    <w:rsid w:val="2AEF6F23"/>
    <w:rsid w:val="2B3003D3"/>
    <w:rsid w:val="2B52D0C6"/>
    <w:rsid w:val="2B64EF3B"/>
    <w:rsid w:val="2B694D0F"/>
    <w:rsid w:val="2BCA124B"/>
    <w:rsid w:val="2C0C8E24"/>
    <w:rsid w:val="2C26CF31"/>
    <w:rsid w:val="2C3E6B7C"/>
    <w:rsid w:val="2C5ABD26"/>
    <w:rsid w:val="2C62842E"/>
    <w:rsid w:val="2C912DAC"/>
    <w:rsid w:val="2CA89A6D"/>
    <w:rsid w:val="2D35722D"/>
    <w:rsid w:val="2D55C879"/>
    <w:rsid w:val="2DF41AB8"/>
    <w:rsid w:val="2DFCF9ED"/>
    <w:rsid w:val="2E030F0D"/>
    <w:rsid w:val="2E0A1791"/>
    <w:rsid w:val="2E0CA3D5"/>
    <w:rsid w:val="2E2D7FFD"/>
    <w:rsid w:val="2E510CBD"/>
    <w:rsid w:val="2E527628"/>
    <w:rsid w:val="2EC90B02"/>
    <w:rsid w:val="2F061161"/>
    <w:rsid w:val="2F0CA3F5"/>
    <w:rsid w:val="2F3F29E8"/>
    <w:rsid w:val="2F6FC46C"/>
    <w:rsid w:val="2FBF6D7D"/>
    <w:rsid w:val="30547438"/>
    <w:rsid w:val="305A7B84"/>
    <w:rsid w:val="30C0A397"/>
    <w:rsid w:val="30F7ACBA"/>
    <w:rsid w:val="3181F0C0"/>
    <w:rsid w:val="31B8CA3C"/>
    <w:rsid w:val="3227A555"/>
    <w:rsid w:val="323E0BC7"/>
    <w:rsid w:val="32679C4B"/>
    <w:rsid w:val="32B0B6DC"/>
    <w:rsid w:val="32B33D35"/>
    <w:rsid w:val="3333298A"/>
    <w:rsid w:val="34F3FB20"/>
    <w:rsid w:val="34FE8602"/>
    <w:rsid w:val="350CBD04"/>
    <w:rsid w:val="351F46C6"/>
    <w:rsid w:val="35F46430"/>
    <w:rsid w:val="365A28B0"/>
    <w:rsid w:val="367FA4A7"/>
    <w:rsid w:val="36B8A94F"/>
    <w:rsid w:val="36C417B0"/>
    <w:rsid w:val="36D4F6BA"/>
    <w:rsid w:val="37161765"/>
    <w:rsid w:val="377D415F"/>
    <w:rsid w:val="3816A687"/>
    <w:rsid w:val="383CBE73"/>
    <w:rsid w:val="3853C11A"/>
    <w:rsid w:val="386B0E31"/>
    <w:rsid w:val="38A7F0D5"/>
    <w:rsid w:val="38D8AD2B"/>
    <w:rsid w:val="391ACA75"/>
    <w:rsid w:val="393D9068"/>
    <w:rsid w:val="396DE04F"/>
    <w:rsid w:val="399586E7"/>
    <w:rsid w:val="399B914E"/>
    <w:rsid w:val="39AC64FB"/>
    <w:rsid w:val="3ABCB888"/>
    <w:rsid w:val="3ADDFA10"/>
    <w:rsid w:val="3B74A288"/>
    <w:rsid w:val="3B87689E"/>
    <w:rsid w:val="3C88753B"/>
    <w:rsid w:val="3CEBFED7"/>
    <w:rsid w:val="3D40EA64"/>
    <w:rsid w:val="3DC13E83"/>
    <w:rsid w:val="3DE6726B"/>
    <w:rsid w:val="3DF276A2"/>
    <w:rsid w:val="3E09E018"/>
    <w:rsid w:val="3E292276"/>
    <w:rsid w:val="3EE1EF2B"/>
    <w:rsid w:val="3F368E4F"/>
    <w:rsid w:val="3F59ED8E"/>
    <w:rsid w:val="3FE5175D"/>
    <w:rsid w:val="403182AE"/>
    <w:rsid w:val="40811910"/>
    <w:rsid w:val="408EB017"/>
    <w:rsid w:val="40A55218"/>
    <w:rsid w:val="40D986E6"/>
    <w:rsid w:val="40EAFC96"/>
    <w:rsid w:val="40FAAB48"/>
    <w:rsid w:val="41133146"/>
    <w:rsid w:val="416253B7"/>
    <w:rsid w:val="41723B44"/>
    <w:rsid w:val="419133D8"/>
    <w:rsid w:val="41A6BFF9"/>
    <w:rsid w:val="41A77E3D"/>
    <w:rsid w:val="41B54AC2"/>
    <w:rsid w:val="42492751"/>
    <w:rsid w:val="42560D8F"/>
    <w:rsid w:val="427CEB47"/>
    <w:rsid w:val="428CB400"/>
    <w:rsid w:val="428DF3D0"/>
    <w:rsid w:val="4297C82E"/>
    <w:rsid w:val="42FC5198"/>
    <w:rsid w:val="434A6FA2"/>
    <w:rsid w:val="435D805C"/>
    <w:rsid w:val="439167E9"/>
    <w:rsid w:val="43D6AB23"/>
    <w:rsid w:val="441D3015"/>
    <w:rsid w:val="442A6A74"/>
    <w:rsid w:val="4433A826"/>
    <w:rsid w:val="44C09EA5"/>
    <w:rsid w:val="44DB05F5"/>
    <w:rsid w:val="452119BA"/>
    <w:rsid w:val="454F4072"/>
    <w:rsid w:val="458CE6E0"/>
    <w:rsid w:val="459EAEAA"/>
    <w:rsid w:val="45AF5E4C"/>
    <w:rsid w:val="460DE403"/>
    <w:rsid w:val="46428F63"/>
    <w:rsid w:val="465ABC9D"/>
    <w:rsid w:val="46892BC4"/>
    <w:rsid w:val="46B7F386"/>
    <w:rsid w:val="47367351"/>
    <w:rsid w:val="47790367"/>
    <w:rsid w:val="4799CC6A"/>
    <w:rsid w:val="47A3E108"/>
    <w:rsid w:val="47CD257E"/>
    <w:rsid w:val="47FD8D45"/>
    <w:rsid w:val="481BEE00"/>
    <w:rsid w:val="481C58FA"/>
    <w:rsid w:val="48A331FB"/>
    <w:rsid w:val="48B55468"/>
    <w:rsid w:val="48CF9625"/>
    <w:rsid w:val="4901E9B0"/>
    <w:rsid w:val="492FE999"/>
    <w:rsid w:val="49612154"/>
    <w:rsid w:val="49D54535"/>
    <w:rsid w:val="49E06432"/>
    <w:rsid w:val="4A1F1A5F"/>
    <w:rsid w:val="4A3E68D5"/>
    <w:rsid w:val="4A8C43E8"/>
    <w:rsid w:val="4A92FFB3"/>
    <w:rsid w:val="4B3DBD63"/>
    <w:rsid w:val="4B87BE3C"/>
    <w:rsid w:val="4B897569"/>
    <w:rsid w:val="4B89C594"/>
    <w:rsid w:val="4BD98D16"/>
    <w:rsid w:val="4BE69B0E"/>
    <w:rsid w:val="4C0D995A"/>
    <w:rsid w:val="4C2EE263"/>
    <w:rsid w:val="4C30450F"/>
    <w:rsid w:val="4C6C75D8"/>
    <w:rsid w:val="4C8D5E58"/>
    <w:rsid w:val="4CD5E209"/>
    <w:rsid w:val="4D290EB1"/>
    <w:rsid w:val="4D515FC3"/>
    <w:rsid w:val="4D5BAA8B"/>
    <w:rsid w:val="4D7C3B1A"/>
    <w:rsid w:val="4D8ED296"/>
    <w:rsid w:val="4D9E2DA0"/>
    <w:rsid w:val="4DA7007F"/>
    <w:rsid w:val="4DCF59F0"/>
    <w:rsid w:val="4E5A4969"/>
    <w:rsid w:val="4E60FF1D"/>
    <w:rsid w:val="4F007FF9"/>
    <w:rsid w:val="4F08AF6A"/>
    <w:rsid w:val="4F24D670"/>
    <w:rsid w:val="4F3FEFD6"/>
    <w:rsid w:val="50168CE7"/>
    <w:rsid w:val="5053FD4B"/>
    <w:rsid w:val="506DCA65"/>
    <w:rsid w:val="5096502E"/>
    <w:rsid w:val="5123B0AE"/>
    <w:rsid w:val="515C9F08"/>
    <w:rsid w:val="51B49318"/>
    <w:rsid w:val="51BD6768"/>
    <w:rsid w:val="51EDD999"/>
    <w:rsid w:val="521C39CA"/>
    <w:rsid w:val="528BAAA7"/>
    <w:rsid w:val="52931EDD"/>
    <w:rsid w:val="529ED0FE"/>
    <w:rsid w:val="52B5973D"/>
    <w:rsid w:val="53261B48"/>
    <w:rsid w:val="536ECFB2"/>
    <w:rsid w:val="5379FC10"/>
    <w:rsid w:val="538D2A56"/>
    <w:rsid w:val="53ACAA38"/>
    <w:rsid w:val="53BFCC82"/>
    <w:rsid w:val="53F5419B"/>
    <w:rsid w:val="5407E690"/>
    <w:rsid w:val="541A491C"/>
    <w:rsid w:val="5428E84D"/>
    <w:rsid w:val="553B4392"/>
    <w:rsid w:val="555E0B7C"/>
    <w:rsid w:val="5565D9A7"/>
    <w:rsid w:val="55FFDFEC"/>
    <w:rsid w:val="56511526"/>
    <w:rsid w:val="568D2283"/>
    <w:rsid w:val="56AD8DAB"/>
    <w:rsid w:val="5728DB31"/>
    <w:rsid w:val="572D0844"/>
    <w:rsid w:val="57A7243A"/>
    <w:rsid w:val="57D35073"/>
    <w:rsid w:val="57EDCA32"/>
    <w:rsid w:val="5868D631"/>
    <w:rsid w:val="58730A8D"/>
    <w:rsid w:val="58BC3F0E"/>
    <w:rsid w:val="58BC9219"/>
    <w:rsid w:val="58EAE588"/>
    <w:rsid w:val="59281740"/>
    <w:rsid w:val="593E8AF5"/>
    <w:rsid w:val="5973F3B4"/>
    <w:rsid w:val="5974E4A5"/>
    <w:rsid w:val="5979E536"/>
    <w:rsid w:val="598730C9"/>
    <w:rsid w:val="59E9D92F"/>
    <w:rsid w:val="59EA4893"/>
    <w:rsid w:val="5A398597"/>
    <w:rsid w:val="5A461FE9"/>
    <w:rsid w:val="5A78CC74"/>
    <w:rsid w:val="5A94673D"/>
    <w:rsid w:val="5A989ACE"/>
    <w:rsid w:val="5ABC7698"/>
    <w:rsid w:val="5B002E9C"/>
    <w:rsid w:val="5B038E75"/>
    <w:rsid w:val="5BA7F75D"/>
    <w:rsid w:val="5BC61CFF"/>
    <w:rsid w:val="5BD6E797"/>
    <w:rsid w:val="5C02D2A1"/>
    <w:rsid w:val="5C5BBC0A"/>
    <w:rsid w:val="5C640B8A"/>
    <w:rsid w:val="5C73705E"/>
    <w:rsid w:val="5CA3CADB"/>
    <w:rsid w:val="5CEE42D9"/>
    <w:rsid w:val="5D5528A7"/>
    <w:rsid w:val="5D9EC2E2"/>
    <w:rsid w:val="5E0FD26D"/>
    <w:rsid w:val="5E14532A"/>
    <w:rsid w:val="5E22C986"/>
    <w:rsid w:val="5E294AB9"/>
    <w:rsid w:val="5E40D506"/>
    <w:rsid w:val="5E7E921F"/>
    <w:rsid w:val="5EDC0330"/>
    <w:rsid w:val="5F16520A"/>
    <w:rsid w:val="5F74A14E"/>
    <w:rsid w:val="5F8265F6"/>
    <w:rsid w:val="5FC48E9D"/>
    <w:rsid w:val="5FEA8F71"/>
    <w:rsid w:val="60C4095C"/>
    <w:rsid w:val="60E6B760"/>
    <w:rsid w:val="611B79D2"/>
    <w:rsid w:val="6129191C"/>
    <w:rsid w:val="614DE7A0"/>
    <w:rsid w:val="61531BB8"/>
    <w:rsid w:val="61AACB60"/>
    <w:rsid w:val="621E990A"/>
    <w:rsid w:val="6240B1BE"/>
    <w:rsid w:val="62800BDC"/>
    <w:rsid w:val="628F4DB1"/>
    <w:rsid w:val="628FA40F"/>
    <w:rsid w:val="629E71BE"/>
    <w:rsid w:val="636FE3AB"/>
    <w:rsid w:val="644F2D1E"/>
    <w:rsid w:val="64DAFDB0"/>
    <w:rsid w:val="6530993F"/>
    <w:rsid w:val="6537E648"/>
    <w:rsid w:val="6553959C"/>
    <w:rsid w:val="658EB727"/>
    <w:rsid w:val="66A208FE"/>
    <w:rsid w:val="673EF28C"/>
    <w:rsid w:val="6744E025"/>
    <w:rsid w:val="674DB2F2"/>
    <w:rsid w:val="680E5361"/>
    <w:rsid w:val="682749E1"/>
    <w:rsid w:val="682B921E"/>
    <w:rsid w:val="687E784F"/>
    <w:rsid w:val="6900B2FF"/>
    <w:rsid w:val="69539CB8"/>
    <w:rsid w:val="699836A2"/>
    <w:rsid w:val="69DBFE57"/>
    <w:rsid w:val="6A13377D"/>
    <w:rsid w:val="6A3D60B7"/>
    <w:rsid w:val="6AB689AE"/>
    <w:rsid w:val="6AE014BD"/>
    <w:rsid w:val="6B5C0396"/>
    <w:rsid w:val="6B6B37BD"/>
    <w:rsid w:val="6B8F2AA1"/>
    <w:rsid w:val="6B952298"/>
    <w:rsid w:val="6BC0CA89"/>
    <w:rsid w:val="6BC930B8"/>
    <w:rsid w:val="6BD0C62D"/>
    <w:rsid w:val="6BFF7C5B"/>
    <w:rsid w:val="6C1F5655"/>
    <w:rsid w:val="6C29C83C"/>
    <w:rsid w:val="6C306C16"/>
    <w:rsid w:val="6CE62EF9"/>
    <w:rsid w:val="6D40B419"/>
    <w:rsid w:val="6D61191B"/>
    <w:rsid w:val="6D74E792"/>
    <w:rsid w:val="6E409AC1"/>
    <w:rsid w:val="6EB063AB"/>
    <w:rsid w:val="6F1CDC34"/>
    <w:rsid w:val="6F1DE2B9"/>
    <w:rsid w:val="6F36F4A4"/>
    <w:rsid w:val="70175EAE"/>
    <w:rsid w:val="704210BB"/>
    <w:rsid w:val="7049ACAF"/>
    <w:rsid w:val="7061D8A0"/>
    <w:rsid w:val="70AE4036"/>
    <w:rsid w:val="7119440E"/>
    <w:rsid w:val="711E3101"/>
    <w:rsid w:val="71358916"/>
    <w:rsid w:val="7145DB21"/>
    <w:rsid w:val="71D57820"/>
    <w:rsid w:val="71E38E32"/>
    <w:rsid w:val="71EBF060"/>
    <w:rsid w:val="720732E8"/>
    <w:rsid w:val="7275F155"/>
    <w:rsid w:val="73161D90"/>
    <w:rsid w:val="7327EE7E"/>
    <w:rsid w:val="73A7BE84"/>
    <w:rsid w:val="73B3B00C"/>
    <w:rsid w:val="73EDC53C"/>
    <w:rsid w:val="740A722A"/>
    <w:rsid w:val="74181427"/>
    <w:rsid w:val="7422BA61"/>
    <w:rsid w:val="74B004B9"/>
    <w:rsid w:val="74B46BE3"/>
    <w:rsid w:val="74EA39C9"/>
    <w:rsid w:val="751664C3"/>
    <w:rsid w:val="75471B4E"/>
    <w:rsid w:val="757D98F1"/>
    <w:rsid w:val="75D10D62"/>
    <w:rsid w:val="75D45AFC"/>
    <w:rsid w:val="75DAFD9E"/>
    <w:rsid w:val="76041E9A"/>
    <w:rsid w:val="760DBC1D"/>
    <w:rsid w:val="76252E26"/>
    <w:rsid w:val="763755DD"/>
    <w:rsid w:val="7647C54B"/>
    <w:rsid w:val="764C5022"/>
    <w:rsid w:val="7662F9D0"/>
    <w:rsid w:val="76787540"/>
    <w:rsid w:val="76ADA80A"/>
    <w:rsid w:val="76B1D6B5"/>
    <w:rsid w:val="770EC819"/>
    <w:rsid w:val="77824848"/>
    <w:rsid w:val="77FFC1AC"/>
    <w:rsid w:val="7838EDDD"/>
    <w:rsid w:val="78F6B109"/>
    <w:rsid w:val="7966A4E9"/>
    <w:rsid w:val="79B1909F"/>
    <w:rsid w:val="7A2183F1"/>
    <w:rsid w:val="7A234954"/>
    <w:rsid w:val="7A6487C8"/>
    <w:rsid w:val="7AC8B74A"/>
    <w:rsid w:val="7AFE12D0"/>
    <w:rsid w:val="7B09A15A"/>
    <w:rsid w:val="7B5F3705"/>
    <w:rsid w:val="7B6AE90A"/>
    <w:rsid w:val="7BD0D6F3"/>
    <w:rsid w:val="7BEAD450"/>
    <w:rsid w:val="7BF162C5"/>
    <w:rsid w:val="7C21B7EC"/>
    <w:rsid w:val="7C418496"/>
    <w:rsid w:val="7C61202B"/>
    <w:rsid w:val="7C6A134C"/>
    <w:rsid w:val="7C8BCAE8"/>
    <w:rsid w:val="7D2F6311"/>
    <w:rsid w:val="7DAD3D7E"/>
    <w:rsid w:val="7E0BABBB"/>
    <w:rsid w:val="7E9148C7"/>
    <w:rsid w:val="7EAA1993"/>
    <w:rsid w:val="7EDB0D6D"/>
    <w:rsid w:val="7F8DD077"/>
    <w:rsid w:val="7FA81179"/>
    <w:rsid w:val="7FB6F658"/>
    <w:rsid w:val="7FE4AC8A"/>
    <w:rsid w:val="7FEDBC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A5F7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2"/>
    <w:lsdException w:name="footer" w:uiPriority="2"/>
    <w:lsdException w:name="caption" w:semiHidden="1" w:unhideWhenUsed="1" w:qFormat="1"/>
    <w:lsdException w:name="footnote reference" w:uiPriority="99" w:qFormat="1"/>
    <w:lsdException w:name="annotation reference" w:uiPriority="99"/>
    <w:lsdException w:name="macro" w:uiPriority="1" w:qFormat="1"/>
    <w:lsdException w:name="List Bullet" w:uiPriority="1"/>
    <w:lsdException w:name="List Number" w:uiPriority="1"/>
    <w:lsdException w:name="List Bullet 2" w:uiPriority="1"/>
    <w:lsdException w:name="List Bullet 3" w:uiPriority="1"/>
    <w:lsdException w:name="List Bullet 4" w:uiPriority="1"/>
    <w:lsdException w:name="List Number 2" w:uiPriority="1"/>
    <w:lsdException w:name="List Number 3" w:uiPriority="1"/>
    <w:lsdException w:name="List Number 4" w:uiPriority="1"/>
    <w:lsdException w:name="Title" w:uiPriority="1" w:qFormat="1"/>
    <w:lsdException w:name="Signature" w:uiPriority="2"/>
    <w:lsdException w:name="Subtitle" w:qFormat="1"/>
    <w:lsdException w:name="Date" w:uiPriority="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CCA"/>
    <w:pPr>
      <w:spacing w:before="120" w:after="120"/>
      <w:jc w:val="both"/>
    </w:pPr>
    <w:rPr>
      <w:sz w:val="24"/>
      <w:szCs w:val="24"/>
      <w:lang w:eastAsia="en-US"/>
    </w:rPr>
  </w:style>
  <w:style w:type="paragraph" w:styleId="Heading1">
    <w:name w:val="heading 1"/>
    <w:basedOn w:val="Normal"/>
    <w:next w:val="Normal"/>
    <w:uiPriority w:val="1"/>
    <w:qFormat/>
    <w:rsid w:val="005643CD"/>
    <w:pPr>
      <w:keepNext/>
      <w:numPr>
        <w:numId w:val="16"/>
      </w:numPr>
      <w:spacing w:before="360"/>
      <w:outlineLvl w:val="0"/>
    </w:pPr>
    <w:rPr>
      <w:b/>
      <w:bCs/>
      <w:smallCaps/>
      <w:szCs w:val="32"/>
    </w:rPr>
  </w:style>
  <w:style w:type="paragraph" w:styleId="Heading2">
    <w:name w:val="heading 2"/>
    <w:basedOn w:val="Normal"/>
    <w:next w:val="Normal"/>
    <w:uiPriority w:val="1"/>
    <w:qFormat/>
    <w:rsid w:val="005643CD"/>
    <w:pPr>
      <w:keepNext/>
      <w:numPr>
        <w:ilvl w:val="1"/>
        <w:numId w:val="16"/>
      </w:numPr>
      <w:outlineLvl w:val="1"/>
    </w:pPr>
    <w:rPr>
      <w:b/>
      <w:bCs/>
      <w:iCs/>
      <w:szCs w:val="28"/>
    </w:rPr>
  </w:style>
  <w:style w:type="paragraph" w:styleId="Heading3">
    <w:name w:val="heading 3"/>
    <w:basedOn w:val="Normal"/>
    <w:next w:val="Normal"/>
    <w:uiPriority w:val="1"/>
    <w:qFormat/>
    <w:rsid w:val="005643CD"/>
    <w:pPr>
      <w:keepNext/>
      <w:numPr>
        <w:ilvl w:val="2"/>
        <w:numId w:val="16"/>
      </w:numPr>
      <w:outlineLvl w:val="2"/>
    </w:pPr>
    <w:rPr>
      <w:bCs/>
      <w:i/>
      <w:szCs w:val="26"/>
    </w:rPr>
  </w:style>
  <w:style w:type="paragraph" w:styleId="Heading4">
    <w:name w:val="heading 4"/>
    <w:basedOn w:val="Normal"/>
    <w:next w:val="Normal"/>
    <w:uiPriority w:val="1"/>
    <w:qFormat/>
    <w:rsid w:val="005643CD"/>
    <w:pPr>
      <w:keepNext/>
      <w:numPr>
        <w:ilvl w:val="3"/>
        <w:numId w:val="16"/>
      </w:numPr>
      <w:outlineLvl w:val="3"/>
    </w:pPr>
    <w:rPr>
      <w:bCs/>
      <w:szCs w:val="28"/>
    </w:rPr>
  </w:style>
  <w:style w:type="paragraph" w:styleId="Heading5">
    <w:name w:val="heading 5"/>
    <w:basedOn w:val="Normal"/>
    <w:next w:val="Normal"/>
    <w:link w:val="Heading5Char"/>
    <w:semiHidden/>
    <w:rsid w:val="00517B47"/>
    <w:pPr>
      <w:keepNext/>
      <w:tabs>
        <w:tab w:val="num" w:pos="2880"/>
      </w:tabs>
      <w:spacing w:before="0" w:after="240"/>
      <w:ind w:left="3838" w:hanging="958"/>
      <w:outlineLvl w:val="4"/>
    </w:pPr>
    <w:rPr>
      <w:szCs w:val="20"/>
      <w:lang w:eastAsia="en-IE"/>
    </w:rPr>
  </w:style>
  <w:style w:type="paragraph" w:styleId="Heading6">
    <w:name w:val="heading 6"/>
    <w:basedOn w:val="Normal"/>
    <w:next w:val="Normal"/>
    <w:link w:val="Heading6Char"/>
    <w:semiHidden/>
    <w:rsid w:val="00517B47"/>
    <w:pPr>
      <w:keepNext/>
      <w:tabs>
        <w:tab w:val="num" w:pos="2880"/>
      </w:tabs>
      <w:spacing w:before="0" w:after="240"/>
      <w:ind w:left="3838" w:hanging="958"/>
      <w:outlineLvl w:val="5"/>
    </w:pPr>
    <w:rPr>
      <w:szCs w:val="20"/>
      <w:lang w:eastAsia="en-IE"/>
    </w:rPr>
  </w:style>
  <w:style w:type="paragraph" w:styleId="Heading7">
    <w:name w:val="heading 7"/>
    <w:basedOn w:val="Normal"/>
    <w:next w:val="Normal"/>
    <w:link w:val="Heading7Char"/>
    <w:semiHidden/>
    <w:rsid w:val="00517B47"/>
    <w:pPr>
      <w:keepNext/>
      <w:tabs>
        <w:tab w:val="num" w:pos="2880"/>
      </w:tabs>
      <w:spacing w:before="0" w:after="240"/>
      <w:ind w:left="3838" w:hanging="958"/>
      <w:outlineLvl w:val="6"/>
    </w:pPr>
    <w:rPr>
      <w:szCs w:val="20"/>
      <w:lang w:eastAsia="en-IE"/>
    </w:rPr>
  </w:style>
  <w:style w:type="paragraph" w:styleId="Heading8">
    <w:name w:val="heading 8"/>
    <w:basedOn w:val="Normal"/>
    <w:next w:val="Normal"/>
    <w:link w:val="Heading8Char"/>
    <w:semiHidden/>
    <w:rsid w:val="00517B47"/>
    <w:pPr>
      <w:keepNext/>
      <w:tabs>
        <w:tab w:val="num" w:pos="2880"/>
      </w:tabs>
      <w:spacing w:before="0" w:after="240"/>
      <w:ind w:left="3838" w:hanging="958"/>
      <w:outlineLvl w:val="7"/>
    </w:pPr>
    <w:rPr>
      <w:szCs w:val="20"/>
      <w:lang w:eastAsia="en-IE"/>
    </w:rPr>
  </w:style>
  <w:style w:type="paragraph" w:styleId="Heading9">
    <w:name w:val="heading 9"/>
    <w:basedOn w:val="Normal"/>
    <w:next w:val="Normal"/>
    <w:link w:val="Heading9Char"/>
    <w:semiHidden/>
    <w:rsid w:val="00517B47"/>
    <w:pPr>
      <w:keepNext/>
      <w:tabs>
        <w:tab w:val="num" w:pos="2880"/>
      </w:tabs>
      <w:spacing w:before="0" w:after="240"/>
      <w:ind w:left="3838" w:hanging="958"/>
      <w:outlineLvl w:val="8"/>
    </w:pPr>
    <w:rPr>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5643CD"/>
    <w:pPr>
      <w:spacing w:before="0" w:after="240"/>
      <w:jc w:val="center"/>
    </w:pPr>
    <w:rPr>
      <w:b/>
      <w:i/>
    </w:rPr>
  </w:style>
  <w:style w:type="paragraph" w:customStyle="1" w:styleId="AccompagnantPagedecouverture">
    <w:name w:val="Accompagnant (Page de couverture)"/>
    <w:basedOn w:val="Accompagnant"/>
    <w:next w:val="Normal"/>
    <w:rsid w:val="005643CD"/>
  </w:style>
  <w:style w:type="character" w:customStyle="1" w:styleId="Added">
    <w:name w:val="Added"/>
    <w:basedOn w:val="DefaultParagraphFont"/>
    <w:rsid w:val="005643CD"/>
    <w:rPr>
      <w:b/>
      <w:u w:val="single"/>
      <w:shd w:val="clear" w:color="auto" w:fill="auto"/>
    </w:rPr>
  </w:style>
  <w:style w:type="paragraph" w:customStyle="1" w:styleId="Address">
    <w:name w:val="Address"/>
    <w:basedOn w:val="Normal"/>
    <w:next w:val="Normal"/>
    <w:rsid w:val="005643CD"/>
    <w:pPr>
      <w:keepLines/>
      <w:spacing w:line="360" w:lineRule="auto"/>
      <w:ind w:left="3402"/>
      <w:jc w:val="left"/>
    </w:pPr>
  </w:style>
  <w:style w:type="paragraph" w:customStyle="1" w:styleId="Annexetitre">
    <w:name w:val="Annexe titre"/>
    <w:basedOn w:val="Normal"/>
    <w:next w:val="Normal"/>
    <w:rsid w:val="005643CD"/>
    <w:pPr>
      <w:jc w:val="center"/>
    </w:pPr>
    <w:rPr>
      <w:b/>
      <w:u w:val="single"/>
    </w:rPr>
  </w:style>
  <w:style w:type="paragraph" w:customStyle="1" w:styleId="Annexetitreexpos">
    <w:name w:val="Annexe titre (exposé)"/>
    <w:basedOn w:val="Normal"/>
    <w:next w:val="Normal"/>
    <w:rsid w:val="005643CD"/>
    <w:pPr>
      <w:jc w:val="center"/>
    </w:pPr>
    <w:rPr>
      <w:b/>
      <w:u w:val="single"/>
    </w:rPr>
  </w:style>
  <w:style w:type="paragraph" w:customStyle="1" w:styleId="Annexetitrefichefinancire">
    <w:name w:val="Annexe titre (fiche financière)"/>
    <w:basedOn w:val="Normal"/>
    <w:next w:val="Normal"/>
    <w:rsid w:val="005643CD"/>
    <w:pPr>
      <w:jc w:val="center"/>
    </w:pPr>
    <w:rPr>
      <w:b/>
      <w:u w:val="single"/>
    </w:rPr>
  </w:style>
  <w:style w:type="paragraph" w:customStyle="1" w:styleId="Applicationdirecte">
    <w:name w:val="Application directe"/>
    <w:basedOn w:val="Normal"/>
    <w:next w:val="Normal"/>
    <w:rsid w:val="005643CD"/>
    <w:pPr>
      <w:spacing w:before="480"/>
    </w:pPr>
  </w:style>
  <w:style w:type="paragraph" w:customStyle="1" w:styleId="Avertissementtitre">
    <w:name w:val="Avertissement titre"/>
    <w:basedOn w:val="Normal"/>
    <w:next w:val="Normal"/>
    <w:rsid w:val="005643CD"/>
    <w:pPr>
      <w:keepNext/>
      <w:spacing w:before="480"/>
    </w:pPr>
    <w:rPr>
      <w:u w:val="single"/>
    </w:rPr>
  </w:style>
  <w:style w:type="paragraph" w:customStyle="1" w:styleId="Bullet0">
    <w:name w:val="Bullet 0"/>
    <w:basedOn w:val="Normal"/>
    <w:rsid w:val="005643CD"/>
    <w:pPr>
      <w:numPr>
        <w:numId w:val="10"/>
      </w:numPr>
    </w:pPr>
  </w:style>
  <w:style w:type="paragraph" w:customStyle="1" w:styleId="Bullet1">
    <w:name w:val="Bullet 1"/>
    <w:basedOn w:val="Normal"/>
    <w:rsid w:val="005643CD"/>
    <w:pPr>
      <w:numPr>
        <w:numId w:val="11"/>
      </w:numPr>
    </w:pPr>
  </w:style>
  <w:style w:type="paragraph" w:customStyle="1" w:styleId="Bullet2">
    <w:name w:val="Bullet 2"/>
    <w:basedOn w:val="Normal"/>
    <w:rsid w:val="005643CD"/>
    <w:pPr>
      <w:numPr>
        <w:numId w:val="12"/>
      </w:numPr>
    </w:pPr>
  </w:style>
  <w:style w:type="paragraph" w:customStyle="1" w:styleId="Bullet3">
    <w:name w:val="Bullet 3"/>
    <w:basedOn w:val="Normal"/>
    <w:rsid w:val="005643CD"/>
    <w:pPr>
      <w:numPr>
        <w:numId w:val="13"/>
      </w:numPr>
    </w:pPr>
  </w:style>
  <w:style w:type="paragraph" w:customStyle="1" w:styleId="Bullet4">
    <w:name w:val="Bullet 4"/>
    <w:basedOn w:val="Normal"/>
    <w:rsid w:val="005643CD"/>
    <w:pPr>
      <w:numPr>
        <w:numId w:val="14"/>
      </w:numPr>
    </w:pPr>
  </w:style>
  <w:style w:type="paragraph" w:customStyle="1" w:styleId="ChapterTitle">
    <w:name w:val="ChapterTitle"/>
    <w:basedOn w:val="Normal"/>
    <w:next w:val="Normal"/>
    <w:uiPriority w:val="1"/>
    <w:qFormat/>
    <w:rsid w:val="005643CD"/>
    <w:pPr>
      <w:keepNext/>
      <w:spacing w:after="360"/>
      <w:jc w:val="center"/>
    </w:pPr>
    <w:rPr>
      <w:b/>
      <w:sz w:val="32"/>
    </w:rPr>
  </w:style>
  <w:style w:type="paragraph" w:customStyle="1" w:styleId="Confidence">
    <w:name w:val="Confidence"/>
    <w:basedOn w:val="Normal"/>
    <w:next w:val="Normal"/>
    <w:rsid w:val="005643CD"/>
    <w:pPr>
      <w:spacing w:before="360"/>
      <w:jc w:val="center"/>
    </w:pPr>
  </w:style>
  <w:style w:type="paragraph" w:customStyle="1" w:styleId="Confidentialit">
    <w:name w:val="Confidentialité"/>
    <w:basedOn w:val="Normal"/>
    <w:next w:val="Normal"/>
    <w:rsid w:val="005643CD"/>
    <w:pPr>
      <w:spacing w:before="240" w:after="240"/>
      <w:ind w:left="5103"/>
    </w:pPr>
    <w:rPr>
      <w:u w:val="single"/>
    </w:rPr>
  </w:style>
  <w:style w:type="paragraph" w:customStyle="1" w:styleId="Considrant">
    <w:name w:val="Considérant"/>
    <w:basedOn w:val="Normal"/>
    <w:rsid w:val="005643CD"/>
    <w:pPr>
      <w:numPr>
        <w:numId w:val="15"/>
      </w:numPr>
    </w:pPr>
  </w:style>
  <w:style w:type="paragraph" w:customStyle="1" w:styleId="Corrigendum">
    <w:name w:val="Corrigendum"/>
    <w:basedOn w:val="Normal"/>
    <w:next w:val="Normal"/>
    <w:rsid w:val="005643CD"/>
    <w:pPr>
      <w:spacing w:before="0" w:after="240"/>
      <w:jc w:val="left"/>
    </w:pPr>
  </w:style>
  <w:style w:type="paragraph" w:customStyle="1" w:styleId="Datedadoption">
    <w:name w:val="Date d'adoption"/>
    <w:basedOn w:val="Normal"/>
    <w:next w:val="Normal"/>
    <w:rsid w:val="005643CD"/>
    <w:pPr>
      <w:spacing w:before="360" w:after="0"/>
      <w:jc w:val="center"/>
    </w:pPr>
    <w:rPr>
      <w:b/>
    </w:rPr>
  </w:style>
  <w:style w:type="paragraph" w:customStyle="1" w:styleId="DatedadoptionPagedecouverture">
    <w:name w:val="Date d'adoption (Page de couverture)"/>
    <w:basedOn w:val="Datedadoption"/>
    <w:next w:val="Normal"/>
    <w:rsid w:val="005643CD"/>
  </w:style>
  <w:style w:type="character" w:customStyle="1" w:styleId="Deleted">
    <w:name w:val="Deleted"/>
    <w:basedOn w:val="DefaultParagraphFont"/>
    <w:rsid w:val="005643CD"/>
    <w:rPr>
      <w:strike/>
      <w:shd w:val="clear" w:color="auto" w:fill="auto"/>
    </w:rPr>
  </w:style>
  <w:style w:type="paragraph" w:customStyle="1" w:styleId="Emission">
    <w:name w:val="Emission"/>
    <w:basedOn w:val="Normal"/>
    <w:next w:val="Normal"/>
    <w:rsid w:val="005643CD"/>
    <w:pPr>
      <w:spacing w:before="0" w:after="0"/>
      <w:ind w:left="5103"/>
      <w:jc w:val="left"/>
    </w:pPr>
  </w:style>
  <w:style w:type="paragraph" w:customStyle="1" w:styleId="Exposdesmotifstitre">
    <w:name w:val="Exposé des motifs titre"/>
    <w:basedOn w:val="Normal"/>
    <w:next w:val="Normal"/>
    <w:rsid w:val="005643CD"/>
    <w:pPr>
      <w:jc w:val="center"/>
    </w:pPr>
    <w:rPr>
      <w:b/>
      <w:u w:val="single"/>
    </w:rPr>
  </w:style>
  <w:style w:type="paragraph" w:customStyle="1" w:styleId="Fait">
    <w:name w:val="Fait à"/>
    <w:basedOn w:val="Normal"/>
    <w:next w:val="Normal"/>
    <w:rsid w:val="005643CD"/>
    <w:pPr>
      <w:keepNext/>
      <w:spacing w:after="0"/>
    </w:pPr>
  </w:style>
  <w:style w:type="paragraph" w:customStyle="1" w:styleId="Fichefinanciretitre">
    <w:name w:val="Fiche financière titre"/>
    <w:basedOn w:val="Normal"/>
    <w:next w:val="Normal"/>
    <w:rsid w:val="005643CD"/>
    <w:pPr>
      <w:jc w:val="center"/>
    </w:pPr>
    <w:rPr>
      <w:b/>
      <w:u w:val="single"/>
    </w:rPr>
  </w:style>
  <w:style w:type="paragraph" w:styleId="Footer">
    <w:name w:val="footer"/>
    <w:basedOn w:val="Normal"/>
    <w:uiPriority w:val="2"/>
    <w:rsid w:val="005643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43CD"/>
    <w:pPr>
      <w:tabs>
        <w:tab w:val="center" w:pos="7285"/>
        <w:tab w:val="center" w:pos="10913"/>
        <w:tab w:val="right" w:pos="15137"/>
      </w:tabs>
      <w:spacing w:before="360" w:after="0"/>
      <w:ind w:left="-567" w:right="-567"/>
      <w:jc w:val="left"/>
    </w:p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qFormat/>
    <w:rsid w:val="005643CD"/>
    <w:rPr>
      <w:shd w:val="clear" w:color="auto" w:fill="auto"/>
      <w:vertAlign w:val="superscript"/>
    </w:rPr>
  </w:style>
  <w:style w:type="paragraph" w:styleId="FootnoteText">
    <w:name w:val="footnote text"/>
    <w:aliases w:val="single space,Fußnotentextf,Footnote text,fn,Schriftart: 9 pt,Schriftart: 10 pt,Schriftart: 8 pt,WB-Fußnotentext,footnote text,Footnote Text2,Footnote Text11,ALTS FOOTNOTE11,Footnote Text Char111,ALTS FOOTNOTE2,Footnote Text Char1,stile 1,f"/>
    <w:basedOn w:val="Normal"/>
    <w:uiPriority w:val="99"/>
    <w:qFormat/>
    <w:rsid w:val="005643CD"/>
    <w:pPr>
      <w:spacing w:before="0" w:after="0"/>
      <w:ind w:left="720" w:hanging="720"/>
    </w:pPr>
    <w:rPr>
      <w:sz w:val="20"/>
      <w:szCs w:val="20"/>
    </w:rPr>
  </w:style>
  <w:style w:type="paragraph" w:customStyle="1" w:styleId="Formuledadoption">
    <w:name w:val="Formule d'adoption"/>
    <w:basedOn w:val="Normal"/>
    <w:next w:val="Normal"/>
    <w:rsid w:val="005643CD"/>
    <w:pPr>
      <w:keepNext/>
    </w:pPr>
  </w:style>
  <w:style w:type="paragraph" w:styleId="Header">
    <w:name w:val="header"/>
    <w:basedOn w:val="Normal"/>
    <w:link w:val="HeaderChar"/>
    <w:uiPriority w:val="2"/>
    <w:rsid w:val="005643CD"/>
    <w:pPr>
      <w:tabs>
        <w:tab w:val="center" w:pos="4535"/>
        <w:tab w:val="right" w:pos="9071"/>
      </w:tabs>
    </w:pPr>
  </w:style>
  <w:style w:type="paragraph" w:customStyle="1" w:styleId="HeaderLandscape">
    <w:name w:val="HeaderLandscape"/>
    <w:basedOn w:val="Normal"/>
    <w:rsid w:val="005643CD"/>
    <w:pPr>
      <w:tabs>
        <w:tab w:val="center" w:pos="7285"/>
        <w:tab w:val="right" w:pos="14003"/>
      </w:tabs>
    </w:pPr>
  </w:style>
  <w:style w:type="paragraph" w:customStyle="1" w:styleId="Institutionquiagit">
    <w:name w:val="Institution qui agit"/>
    <w:basedOn w:val="Normal"/>
    <w:next w:val="Normal"/>
    <w:rsid w:val="005643CD"/>
    <w:pPr>
      <w:keepNext/>
      <w:spacing w:before="600"/>
    </w:pPr>
  </w:style>
  <w:style w:type="paragraph" w:customStyle="1" w:styleId="Institutionquisigne">
    <w:name w:val="Institution qui signe"/>
    <w:basedOn w:val="Normal"/>
    <w:next w:val="Normal"/>
    <w:rsid w:val="005643CD"/>
    <w:pPr>
      <w:keepNext/>
      <w:tabs>
        <w:tab w:val="left" w:pos="4252"/>
      </w:tabs>
      <w:spacing w:before="720" w:after="0"/>
    </w:pPr>
    <w:rPr>
      <w:i/>
    </w:rPr>
  </w:style>
  <w:style w:type="paragraph" w:customStyle="1" w:styleId="Languesfaisantfoi">
    <w:name w:val="Langues faisant foi"/>
    <w:basedOn w:val="Normal"/>
    <w:next w:val="Normal"/>
    <w:rsid w:val="00B5186B"/>
    <w:pPr>
      <w:spacing w:before="360" w:after="240"/>
      <w:jc w:val="center"/>
    </w:pPr>
    <w:rPr>
      <w:rFonts w:eastAsiaTheme="minorHAnsi"/>
      <w:szCs w:val="22"/>
    </w:rPr>
  </w:style>
  <w:style w:type="paragraph" w:customStyle="1" w:styleId="IntrtEEE">
    <w:name w:val="Intérêt EEE"/>
    <w:basedOn w:val="Languesfaisantfoi"/>
    <w:next w:val="Normal"/>
    <w:rsid w:val="00B5186B"/>
    <w:pPr>
      <w:spacing w:after="0"/>
    </w:pPr>
  </w:style>
  <w:style w:type="paragraph" w:customStyle="1" w:styleId="IntrtEEEPagedecouverture">
    <w:name w:val="Intérêt EEE (Page de couverture)"/>
    <w:basedOn w:val="IntrtEEE"/>
    <w:next w:val="Normal"/>
    <w:rsid w:val="00B5186B"/>
  </w:style>
  <w:style w:type="paragraph" w:customStyle="1" w:styleId="Langue">
    <w:name w:val="Langue"/>
    <w:basedOn w:val="Normal"/>
    <w:next w:val="Normal"/>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Rfrencecroise"/>
    <w:rsid w:val="00B5186B"/>
    <w:pPr>
      <w:spacing w:before="360" w:after="240"/>
      <w:jc w:val="center"/>
    </w:pPr>
    <w:rPr>
      <w:rFonts w:eastAsiaTheme="minorHAnsi"/>
      <w:szCs w:val="22"/>
    </w:rPr>
  </w:style>
  <w:style w:type="paragraph" w:customStyle="1" w:styleId="ManualConsidrant">
    <w:name w:val="Manual Considérant"/>
    <w:basedOn w:val="Normal"/>
    <w:rsid w:val="005643CD"/>
    <w:pPr>
      <w:ind w:left="709" w:hanging="709"/>
    </w:pPr>
  </w:style>
  <w:style w:type="paragraph" w:customStyle="1" w:styleId="ManualHeading1">
    <w:name w:val="Manual Heading 1"/>
    <w:basedOn w:val="Normal"/>
    <w:next w:val="Normal"/>
    <w:rsid w:val="005643CD"/>
    <w:pPr>
      <w:keepNext/>
      <w:tabs>
        <w:tab w:val="left" w:pos="850"/>
      </w:tabs>
      <w:spacing w:before="360"/>
      <w:ind w:left="850" w:hanging="850"/>
      <w:outlineLvl w:val="0"/>
    </w:pPr>
    <w:rPr>
      <w:b/>
      <w:smallCaps/>
    </w:rPr>
  </w:style>
  <w:style w:type="paragraph" w:customStyle="1" w:styleId="ManualHeading2">
    <w:name w:val="Manual Heading 2"/>
    <w:basedOn w:val="Normal"/>
    <w:next w:val="Normal"/>
    <w:rsid w:val="005643CD"/>
    <w:pPr>
      <w:keepNext/>
      <w:tabs>
        <w:tab w:val="left" w:pos="850"/>
      </w:tabs>
      <w:ind w:left="850" w:hanging="850"/>
      <w:outlineLvl w:val="1"/>
    </w:pPr>
    <w:rPr>
      <w:b/>
    </w:rPr>
  </w:style>
  <w:style w:type="paragraph" w:customStyle="1" w:styleId="ManualHeading3">
    <w:name w:val="Manual Heading 3"/>
    <w:basedOn w:val="Normal"/>
    <w:next w:val="Normal"/>
    <w:rsid w:val="005643CD"/>
    <w:pPr>
      <w:keepNext/>
      <w:tabs>
        <w:tab w:val="left" w:pos="850"/>
      </w:tabs>
      <w:ind w:left="850" w:hanging="850"/>
      <w:outlineLvl w:val="2"/>
    </w:pPr>
    <w:rPr>
      <w:i/>
    </w:rPr>
  </w:style>
  <w:style w:type="paragraph" w:customStyle="1" w:styleId="ManualHeading4">
    <w:name w:val="Manual Heading 4"/>
    <w:basedOn w:val="Normal"/>
    <w:next w:val="Normal"/>
    <w:rsid w:val="005643CD"/>
    <w:pPr>
      <w:keepNext/>
      <w:tabs>
        <w:tab w:val="left" w:pos="850"/>
      </w:tabs>
      <w:ind w:left="850" w:hanging="850"/>
      <w:outlineLvl w:val="3"/>
    </w:pPr>
  </w:style>
  <w:style w:type="paragraph" w:customStyle="1" w:styleId="ManualNumPar1">
    <w:name w:val="Manual NumPar 1"/>
    <w:basedOn w:val="Normal"/>
    <w:next w:val="Normal"/>
    <w:rsid w:val="005643CD"/>
    <w:pPr>
      <w:ind w:left="850" w:hanging="850"/>
    </w:pPr>
  </w:style>
  <w:style w:type="paragraph" w:customStyle="1" w:styleId="ManualNumPar2">
    <w:name w:val="Manual NumPar 2"/>
    <w:basedOn w:val="Normal"/>
    <w:next w:val="Normal"/>
    <w:rsid w:val="005643CD"/>
    <w:pPr>
      <w:ind w:left="850" w:hanging="850"/>
    </w:pPr>
  </w:style>
  <w:style w:type="paragraph" w:customStyle="1" w:styleId="ManualNumPar3">
    <w:name w:val="Manual NumPar 3"/>
    <w:basedOn w:val="Normal"/>
    <w:next w:val="Normal"/>
    <w:rsid w:val="005643CD"/>
    <w:pPr>
      <w:ind w:left="850" w:hanging="850"/>
    </w:pPr>
  </w:style>
  <w:style w:type="paragraph" w:customStyle="1" w:styleId="ManualNumPar4">
    <w:name w:val="Manual NumPar 4"/>
    <w:basedOn w:val="Normal"/>
    <w:next w:val="Normal"/>
    <w:rsid w:val="005643CD"/>
    <w:pPr>
      <w:ind w:left="850" w:hanging="850"/>
    </w:pPr>
  </w:style>
  <w:style w:type="character" w:customStyle="1" w:styleId="Marker">
    <w:name w:val="Marker"/>
    <w:basedOn w:val="DefaultParagraphFont"/>
    <w:rsid w:val="005643CD"/>
    <w:rPr>
      <w:color w:val="0000FF"/>
      <w:shd w:val="clear" w:color="auto" w:fill="auto"/>
    </w:rPr>
  </w:style>
  <w:style w:type="character" w:customStyle="1" w:styleId="Marker1">
    <w:name w:val="Marker1"/>
    <w:basedOn w:val="DefaultParagraphFont"/>
    <w:rsid w:val="005643CD"/>
    <w:rPr>
      <w:color w:val="008000"/>
      <w:shd w:val="clear" w:color="auto" w:fill="auto"/>
    </w:rPr>
  </w:style>
  <w:style w:type="character" w:customStyle="1" w:styleId="Marker2">
    <w:name w:val="Marker2"/>
    <w:basedOn w:val="DefaultParagraphFont"/>
    <w:rsid w:val="005643CD"/>
    <w:rPr>
      <w:color w:val="FF0000"/>
      <w:shd w:val="clear" w:color="auto" w:fill="auto"/>
    </w:rPr>
  </w:style>
  <w:style w:type="paragraph" w:customStyle="1" w:styleId="Nomdelinstitution">
    <w:name w:val="Nom de l'institution"/>
    <w:basedOn w:val="Normal"/>
    <w:next w:val="Emission"/>
    <w:rsid w:val="005643CD"/>
    <w:pPr>
      <w:spacing w:before="0" w:after="0"/>
      <w:jc w:val="left"/>
    </w:pPr>
    <w:rPr>
      <w:rFonts w:ascii="Arial" w:hAnsi="Arial" w:cs="Arial"/>
    </w:rPr>
  </w:style>
  <w:style w:type="paragraph" w:customStyle="1" w:styleId="NormalCentered">
    <w:name w:val="Normal Centered"/>
    <w:basedOn w:val="Normal"/>
    <w:rsid w:val="005643CD"/>
    <w:pPr>
      <w:jc w:val="center"/>
    </w:pPr>
  </w:style>
  <w:style w:type="paragraph" w:customStyle="1" w:styleId="NormalLeft">
    <w:name w:val="Normal Left"/>
    <w:basedOn w:val="Normal"/>
    <w:rsid w:val="005643CD"/>
    <w:pPr>
      <w:jc w:val="left"/>
    </w:pPr>
  </w:style>
  <w:style w:type="paragraph" w:customStyle="1" w:styleId="NormalRight">
    <w:name w:val="Normal Right"/>
    <w:basedOn w:val="Normal"/>
    <w:rsid w:val="005643CD"/>
    <w:pPr>
      <w:jc w:val="right"/>
    </w:pPr>
  </w:style>
  <w:style w:type="paragraph" w:customStyle="1" w:styleId="NumPar1">
    <w:name w:val="NumPar 1"/>
    <w:basedOn w:val="Normal"/>
    <w:next w:val="Normal"/>
    <w:uiPriority w:val="1"/>
    <w:qFormat/>
    <w:rsid w:val="005643CD"/>
    <w:pPr>
      <w:numPr>
        <w:numId w:val="17"/>
      </w:numPr>
    </w:pPr>
  </w:style>
  <w:style w:type="paragraph" w:customStyle="1" w:styleId="NumPar2">
    <w:name w:val="NumPar 2"/>
    <w:basedOn w:val="Normal"/>
    <w:next w:val="Normal"/>
    <w:uiPriority w:val="1"/>
    <w:qFormat/>
    <w:rsid w:val="005643CD"/>
    <w:pPr>
      <w:numPr>
        <w:ilvl w:val="1"/>
        <w:numId w:val="17"/>
      </w:numPr>
    </w:pPr>
  </w:style>
  <w:style w:type="paragraph" w:customStyle="1" w:styleId="NumPar3">
    <w:name w:val="NumPar 3"/>
    <w:basedOn w:val="Normal"/>
    <w:next w:val="Normal"/>
    <w:uiPriority w:val="1"/>
    <w:qFormat/>
    <w:rsid w:val="005643CD"/>
    <w:pPr>
      <w:numPr>
        <w:ilvl w:val="2"/>
        <w:numId w:val="17"/>
      </w:numPr>
    </w:pPr>
  </w:style>
  <w:style w:type="paragraph" w:customStyle="1" w:styleId="NumPar4">
    <w:name w:val="NumPar 4"/>
    <w:basedOn w:val="Normal"/>
    <w:next w:val="Normal"/>
    <w:uiPriority w:val="1"/>
    <w:qFormat/>
    <w:rsid w:val="005643CD"/>
    <w:pPr>
      <w:numPr>
        <w:ilvl w:val="3"/>
        <w:numId w:val="17"/>
      </w:numPr>
    </w:pPr>
  </w:style>
  <w:style w:type="paragraph" w:customStyle="1" w:styleId="Objetacteprincipal">
    <w:name w:val="Objet acte principal"/>
    <w:basedOn w:val="Normal"/>
    <w:next w:val="Normal"/>
    <w:rsid w:val="005643CD"/>
    <w:pPr>
      <w:spacing w:before="0" w:after="360"/>
      <w:jc w:val="center"/>
    </w:pPr>
    <w:rPr>
      <w:b/>
    </w:rPr>
  </w:style>
  <w:style w:type="paragraph" w:customStyle="1" w:styleId="ObjetacteprincipalPagedecouverture">
    <w:name w:val="Objet acte principal (Page de couverture)"/>
    <w:basedOn w:val="Objetacteprincipal"/>
    <w:next w:val="Normal"/>
    <w:rsid w:val="005643CD"/>
  </w:style>
  <w:style w:type="paragraph" w:customStyle="1" w:styleId="Objetexterne">
    <w:name w:val="Objet externe"/>
    <w:basedOn w:val="Normal"/>
    <w:next w:val="Normal"/>
    <w:rsid w:val="005643CD"/>
    <w:rPr>
      <w:i/>
      <w:caps/>
    </w:rPr>
  </w:style>
  <w:style w:type="paragraph" w:customStyle="1" w:styleId="Pagedecouverture">
    <w:name w:val="Page de couverture"/>
    <w:basedOn w:val="Normal"/>
    <w:next w:val="Normal"/>
    <w:rsid w:val="005643CD"/>
  </w:style>
  <w:style w:type="paragraph" w:customStyle="1" w:styleId="PartTitle">
    <w:name w:val="PartTitle"/>
    <w:basedOn w:val="Normal"/>
    <w:next w:val="ChapterTitle"/>
    <w:uiPriority w:val="1"/>
    <w:qFormat/>
    <w:rsid w:val="005643CD"/>
    <w:pPr>
      <w:keepNext/>
      <w:pageBreakBefore/>
      <w:spacing w:after="360"/>
      <w:jc w:val="center"/>
    </w:pPr>
    <w:rPr>
      <w:b/>
      <w:sz w:val="36"/>
    </w:rPr>
  </w:style>
  <w:style w:type="paragraph" w:customStyle="1" w:styleId="Personnequisigne">
    <w:name w:val="Personne qui signe"/>
    <w:basedOn w:val="Normal"/>
    <w:next w:val="Institutionquisigne"/>
    <w:rsid w:val="005643CD"/>
    <w:pPr>
      <w:tabs>
        <w:tab w:val="left" w:pos="4252"/>
      </w:tabs>
      <w:spacing w:before="0" w:after="0"/>
      <w:jc w:val="left"/>
    </w:pPr>
    <w:rPr>
      <w:i/>
    </w:rPr>
  </w:style>
  <w:style w:type="paragraph" w:customStyle="1" w:styleId="Point0">
    <w:name w:val="Point 0"/>
    <w:basedOn w:val="Normal"/>
    <w:rsid w:val="005643CD"/>
    <w:pPr>
      <w:ind w:left="850" w:hanging="850"/>
    </w:pPr>
  </w:style>
  <w:style w:type="paragraph" w:customStyle="1" w:styleId="Point0letter">
    <w:name w:val="Point 0 (letter)"/>
    <w:basedOn w:val="Normal"/>
    <w:rsid w:val="005643CD"/>
    <w:pPr>
      <w:numPr>
        <w:ilvl w:val="1"/>
        <w:numId w:val="18"/>
      </w:numPr>
    </w:pPr>
  </w:style>
  <w:style w:type="paragraph" w:customStyle="1" w:styleId="Point0number">
    <w:name w:val="Point 0 (number)"/>
    <w:basedOn w:val="Normal"/>
    <w:rsid w:val="005643CD"/>
    <w:pPr>
      <w:numPr>
        <w:numId w:val="18"/>
      </w:numPr>
    </w:pPr>
  </w:style>
  <w:style w:type="paragraph" w:customStyle="1" w:styleId="Point1">
    <w:name w:val="Point 1"/>
    <w:basedOn w:val="Normal"/>
    <w:rsid w:val="005643CD"/>
    <w:pPr>
      <w:ind w:left="1417" w:hanging="567"/>
    </w:pPr>
  </w:style>
  <w:style w:type="paragraph" w:customStyle="1" w:styleId="Point1letter">
    <w:name w:val="Point 1 (letter)"/>
    <w:basedOn w:val="Normal"/>
    <w:rsid w:val="005643CD"/>
    <w:pPr>
      <w:numPr>
        <w:ilvl w:val="3"/>
        <w:numId w:val="18"/>
      </w:numPr>
    </w:pPr>
  </w:style>
  <w:style w:type="paragraph" w:customStyle="1" w:styleId="Point1number">
    <w:name w:val="Point 1 (number)"/>
    <w:basedOn w:val="Normal"/>
    <w:rsid w:val="005643CD"/>
    <w:pPr>
      <w:numPr>
        <w:ilvl w:val="2"/>
        <w:numId w:val="18"/>
      </w:numPr>
    </w:pPr>
  </w:style>
  <w:style w:type="paragraph" w:customStyle="1" w:styleId="Point2">
    <w:name w:val="Point 2"/>
    <w:basedOn w:val="Normal"/>
    <w:rsid w:val="005643CD"/>
    <w:pPr>
      <w:ind w:left="1984" w:hanging="567"/>
    </w:pPr>
  </w:style>
  <w:style w:type="paragraph" w:customStyle="1" w:styleId="Point2letter">
    <w:name w:val="Point 2 (letter)"/>
    <w:basedOn w:val="Normal"/>
    <w:rsid w:val="005643CD"/>
    <w:pPr>
      <w:numPr>
        <w:ilvl w:val="5"/>
        <w:numId w:val="18"/>
      </w:numPr>
    </w:pPr>
  </w:style>
  <w:style w:type="paragraph" w:customStyle="1" w:styleId="Point2number">
    <w:name w:val="Point 2 (number)"/>
    <w:basedOn w:val="Normal"/>
    <w:rsid w:val="005643CD"/>
    <w:pPr>
      <w:numPr>
        <w:ilvl w:val="4"/>
        <w:numId w:val="18"/>
      </w:numPr>
    </w:pPr>
  </w:style>
  <w:style w:type="paragraph" w:customStyle="1" w:styleId="Point3">
    <w:name w:val="Point 3"/>
    <w:basedOn w:val="Normal"/>
    <w:rsid w:val="005643CD"/>
    <w:pPr>
      <w:ind w:left="2551" w:hanging="567"/>
    </w:pPr>
  </w:style>
  <w:style w:type="paragraph" w:customStyle="1" w:styleId="Point3letter">
    <w:name w:val="Point 3 (letter)"/>
    <w:basedOn w:val="Normal"/>
    <w:rsid w:val="005643CD"/>
    <w:pPr>
      <w:numPr>
        <w:ilvl w:val="7"/>
        <w:numId w:val="18"/>
      </w:numPr>
    </w:pPr>
  </w:style>
  <w:style w:type="paragraph" w:customStyle="1" w:styleId="Point3number">
    <w:name w:val="Point 3 (number)"/>
    <w:basedOn w:val="Normal"/>
    <w:rsid w:val="005643CD"/>
    <w:pPr>
      <w:numPr>
        <w:ilvl w:val="6"/>
        <w:numId w:val="18"/>
      </w:numPr>
    </w:pPr>
  </w:style>
  <w:style w:type="paragraph" w:customStyle="1" w:styleId="Point4">
    <w:name w:val="Point 4"/>
    <w:basedOn w:val="Normal"/>
    <w:rsid w:val="005643CD"/>
    <w:pPr>
      <w:ind w:left="3118" w:hanging="567"/>
    </w:pPr>
  </w:style>
  <w:style w:type="paragraph" w:customStyle="1" w:styleId="Point4letter">
    <w:name w:val="Point 4 (letter)"/>
    <w:basedOn w:val="Normal"/>
    <w:rsid w:val="005643CD"/>
    <w:pPr>
      <w:numPr>
        <w:ilvl w:val="8"/>
        <w:numId w:val="18"/>
      </w:numPr>
    </w:pPr>
  </w:style>
  <w:style w:type="paragraph" w:customStyle="1" w:styleId="PointDouble0">
    <w:name w:val="PointDouble 0"/>
    <w:basedOn w:val="Normal"/>
    <w:rsid w:val="005643CD"/>
    <w:pPr>
      <w:tabs>
        <w:tab w:val="left" w:pos="850"/>
      </w:tabs>
      <w:ind w:left="1417" w:hanging="1417"/>
    </w:pPr>
  </w:style>
  <w:style w:type="paragraph" w:customStyle="1" w:styleId="PointDouble1">
    <w:name w:val="PointDouble 1"/>
    <w:basedOn w:val="Normal"/>
    <w:rsid w:val="005643CD"/>
    <w:pPr>
      <w:tabs>
        <w:tab w:val="left" w:pos="1417"/>
      </w:tabs>
      <w:ind w:left="1984" w:hanging="1134"/>
    </w:pPr>
  </w:style>
  <w:style w:type="paragraph" w:customStyle="1" w:styleId="PointDouble2">
    <w:name w:val="PointDouble 2"/>
    <w:basedOn w:val="Normal"/>
    <w:rsid w:val="005643CD"/>
    <w:pPr>
      <w:tabs>
        <w:tab w:val="left" w:pos="1984"/>
      </w:tabs>
      <w:ind w:left="2551" w:hanging="1134"/>
    </w:pPr>
  </w:style>
  <w:style w:type="paragraph" w:customStyle="1" w:styleId="PointDouble3">
    <w:name w:val="PointDouble 3"/>
    <w:basedOn w:val="Normal"/>
    <w:rsid w:val="005643CD"/>
    <w:pPr>
      <w:tabs>
        <w:tab w:val="left" w:pos="2551"/>
      </w:tabs>
      <w:ind w:left="3118" w:hanging="1134"/>
    </w:pPr>
  </w:style>
  <w:style w:type="paragraph" w:customStyle="1" w:styleId="PointDouble4">
    <w:name w:val="PointDouble 4"/>
    <w:basedOn w:val="Normal"/>
    <w:rsid w:val="005643CD"/>
    <w:pPr>
      <w:tabs>
        <w:tab w:val="left" w:pos="3118"/>
      </w:tabs>
      <w:ind w:left="3685" w:hanging="1134"/>
    </w:pPr>
  </w:style>
  <w:style w:type="paragraph" w:customStyle="1" w:styleId="PointTriple0">
    <w:name w:val="PointTriple 0"/>
    <w:basedOn w:val="Normal"/>
    <w:rsid w:val="005643CD"/>
    <w:pPr>
      <w:tabs>
        <w:tab w:val="left" w:pos="850"/>
        <w:tab w:val="left" w:pos="1417"/>
      </w:tabs>
      <w:ind w:left="1984" w:hanging="1984"/>
    </w:pPr>
  </w:style>
  <w:style w:type="paragraph" w:customStyle="1" w:styleId="PointTriple1">
    <w:name w:val="PointTriple 1"/>
    <w:basedOn w:val="Normal"/>
    <w:rsid w:val="005643CD"/>
    <w:pPr>
      <w:tabs>
        <w:tab w:val="left" w:pos="1417"/>
        <w:tab w:val="left" w:pos="1984"/>
      </w:tabs>
      <w:ind w:left="2551" w:hanging="1701"/>
    </w:pPr>
  </w:style>
  <w:style w:type="paragraph" w:customStyle="1" w:styleId="PointTriple2">
    <w:name w:val="PointTriple 2"/>
    <w:basedOn w:val="Normal"/>
    <w:rsid w:val="005643CD"/>
    <w:pPr>
      <w:tabs>
        <w:tab w:val="left" w:pos="1984"/>
        <w:tab w:val="left" w:pos="2551"/>
      </w:tabs>
      <w:ind w:left="3118" w:hanging="1701"/>
    </w:pPr>
  </w:style>
  <w:style w:type="paragraph" w:customStyle="1" w:styleId="PointTriple3">
    <w:name w:val="PointTriple 3"/>
    <w:basedOn w:val="Normal"/>
    <w:rsid w:val="005643CD"/>
    <w:pPr>
      <w:tabs>
        <w:tab w:val="left" w:pos="2551"/>
        <w:tab w:val="left" w:pos="3118"/>
      </w:tabs>
      <w:ind w:left="3685" w:hanging="1701"/>
    </w:pPr>
  </w:style>
  <w:style w:type="paragraph" w:customStyle="1" w:styleId="PointTriple4">
    <w:name w:val="PointTriple 4"/>
    <w:basedOn w:val="Normal"/>
    <w:rsid w:val="005643CD"/>
    <w:pPr>
      <w:tabs>
        <w:tab w:val="left" w:pos="3118"/>
        <w:tab w:val="left" w:pos="3685"/>
      </w:tabs>
      <w:ind w:left="4252" w:hanging="1701"/>
    </w:pPr>
  </w:style>
  <w:style w:type="paragraph" w:customStyle="1" w:styleId="QuotedNumPar">
    <w:name w:val="Quoted NumPar"/>
    <w:basedOn w:val="Normal"/>
    <w:rsid w:val="005643CD"/>
    <w:pPr>
      <w:ind w:left="1417" w:hanging="567"/>
    </w:pPr>
  </w:style>
  <w:style w:type="paragraph" w:customStyle="1" w:styleId="QuotedText">
    <w:name w:val="Quoted Text"/>
    <w:basedOn w:val="Normal"/>
    <w:rsid w:val="005643CD"/>
    <w:pPr>
      <w:ind w:left="1417"/>
    </w:pPr>
  </w:style>
  <w:style w:type="paragraph" w:customStyle="1" w:styleId="Rfrencecroise">
    <w:name w:val="Référence croisée"/>
    <w:basedOn w:val="Normal"/>
    <w:rsid w:val="005643CD"/>
    <w:pPr>
      <w:spacing w:before="0" w:after="0"/>
      <w:jc w:val="center"/>
    </w:pPr>
  </w:style>
  <w:style w:type="paragraph" w:customStyle="1" w:styleId="Rfrenceinstitutionnelle">
    <w:name w:val="Référence institutionnelle"/>
    <w:basedOn w:val="Normal"/>
    <w:next w:val="Confidentialit"/>
    <w:rsid w:val="005643CD"/>
    <w:pPr>
      <w:spacing w:before="0" w:after="240"/>
      <w:ind w:left="5103"/>
      <w:jc w:val="left"/>
    </w:pPr>
  </w:style>
  <w:style w:type="paragraph" w:customStyle="1" w:styleId="Rfrenceinterinstitutionnelle">
    <w:name w:val="Référence interinstitutionnelle"/>
    <w:basedOn w:val="Normal"/>
    <w:next w:val="Normal"/>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Normal"/>
    <w:next w:val="Rfrenceinterinstitutionnelle"/>
    <w:rsid w:val="005643CD"/>
    <w:pPr>
      <w:spacing w:before="0" w:after="0"/>
      <w:ind w:left="5103"/>
      <w:jc w:val="left"/>
    </w:pPr>
  </w:style>
  <w:style w:type="paragraph" w:customStyle="1" w:styleId="SectionTitle">
    <w:name w:val="SectionTitle"/>
    <w:basedOn w:val="Normal"/>
    <w:next w:val="Heading1"/>
    <w:uiPriority w:val="1"/>
    <w:qFormat/>
    <w:rsid w:val="005643CD"/>
    <w:pPr>
      <w:keepNext/>
      <w:spacing w:after="360"/>
      <w:jc w:val="center"/>
    </w:pPr>
    <w:rPr>
      <w:b/>
      <w:smallCaps/>
      <w:sz w:val="28"/>
    </w:rPr>
  </w:style>
  <w:style w:type="paragraph" w:customStyle="1" w:styleId="Sous-titreobjet">
    <w:name w:val="Sous-titre objet"/>
    <w:basedOn w:val="Normal"/>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Normal"/>
    <w:next w:val="Normal"/>
    <w:rsid w:val="005643CD"/>
    <w:pPr>
      <w:spacing w:before="360" w:after="0"/>
      <w:jc w:val="center"/>
    </w:pPr>
  </w:style>
  <w:style w:type="paragraph" w:customStyle="1" w:styleId="StatutPagedecouverture">
    <w:name w:val="Statut (Page de couverture)"/>
    <w:basedOn w:val="Statut"/>
    <w:next w:val="Normal"/>
    <w:rsid w:val="005643CD"/>
  </w:style>
  <w:style w:type="paragraph" w:customStyle="1" w:styleId="Supertitre">
    <w:name w:val="Supertitre"/>
    <w:basedOn w:val="Normal"/>
    <w:next w:val="Normal"/>
    <w:rsid w:val="005643CD"/>
    <w:pPr>
      <w:spacing w:before="0" w:after="600"/>
      <w:jc w:val="center"/>
    </w:pPr>
    <w:rPr>
      <w:b/>
    </w:rPr>
  </w:style>
  <w:style w:type="paragraph" w:customStyle="1" w:styleId="TableTitle">
    <w:name w:val="Table Title"/>
    <w:basedOn w:val="Normal"/>
    <w:next w:val="Normal"/>
    <w:uiPriority w:val="1"/>
    <w:rsid w:val="005643CD"/>
    <w:pPr>
      <w:jc w:val="center"/>
    </w:pPr>
    <w:rPr>
      <w:b/>
    </w:rPr>
  </w:style>
  <w:style w:type="paragraph" w:customStyle="1" w:styleId="Text1">
    <w:name w:val="Text 1"/>
    <w:basedOn w:val="Normal"/>
    <w:uiPriority w:val="1"/>
    <w:qFormat/>
    <w:rsid w:val="005643CD"/>
    <w:pPr>
      <w:ind w:left="850"/>
    </w:pPr>
  </w:style>
  <w:style w:type="paragraph" w:customStyle="1" w:styleId="Text2">
    <w:name w:val="Text 2"/>
    <w:basedOn w:val="Normal"/>
    <w:uiPriority w:val="1"/>
    <w:qFormat/>
    <w:rsid w:val="005643CD"/>
    <w:pPr>
      <w:ind w:left="1417"/>
    </w:pPr>
  </w:style>
  <w:style w:type="paragraph" w:customStyle="1" w:styleId="Text3">
    <w:name w:val="Text 3"/>
    <w:basedOn w:val="Normal"/>
    <w:uiPriority w:val="1"/>
    <w:qFormat/>
    <w:rsid w:val="005643CD"/>
    <w:pPr>
      <w:ind w:left="1984"/>
    </w:pPr>
  </w:style>
  <w:style w:type="paragraph" w:customStyle="1" w:styleId="Text4">
    <w:name w:val="Text 4"/>
    <w:basedOn w:val="Normal"/>
    <w:uiPriority w:val="1"/>
    <w:qFormat/>
    <w:rsid w:val="005643CD"/>
    <w:pPr>
      <w:ind w:left="2551"/>
    </w:pPr>
  </w:style>
  <w:style w:type="paragraph" w:customStyle="1" w:styleId="Tiret0">
    <w:name w:val="Tiret 0"/>
    <w:basedOn w:val="Point0"/>
    <w:rsid w:val="005643CD"/>
    <w:pPr>
      <w:numPr>
        <w:numId w:val="19"/>
      </w:numPr>
    </w:pPr>
  </w:style>
  <w:style w:type="paragraph" w:customStyle="1" w:styleId="Tiret1">
    <w:name w:val="Tiret 1"/>
    <w:basedOn w:val="Point1"/>
    <w:rsid w:val="005643CD"/>
    <w:pPr>
      <w:numPr>
        <w:numId w:val="20"/>
      </w:numPr>
    </w:pPr>
  </w:style>
  <w:style w:type="paragraph" w:customStyle="1" w:styleId="Tiret2">
    <w:name w:val="Tiret 2"/>
    <w:basedOn w:val="Point2"/>
    <w:rsid w:val="005643CD"/>
    <w:pPr>
      <w:numPr>
        <w:numId w:val="21"/>
      </w:numPr>
    </w:pPr>
  </w:style>
  <w:style w:type="paragraph" w:customStyle="1" w:styleId="Tiret3">
    <w:name w:val="Tiret 3"/>
    <w:basedOn w:val="Point3"/>
    <w:rsid w:val="005643CD"/>
    <w:pPr>
      <w:numPr>
        <w:numId w:val="22"/>
      </w:numPr>
    </w:pPr>
  </w:style>
  <w:style w:type="paragraph" w:customStyle="1" w:styleId="Tiret4">
    <w:name w:val="Tiret 4"/>
    <w:basedOn w:val="Point4"/>
    <w:rsid w:val="005643CD"/>
    <w:pPr>
      <w:numPr>
        <w:numId w:val="23"/>
      </w:numPr>
    </w:pPr>
  </w:style>
  <w:style w:type="paragraph" w:customStyle="1" w:styleId="Titrearticle">
    <w:name w:val="Titre article"/>
    <w:basedOn w:val="Normal"/>
    <w:next w:val="Normal"/>
    <w:rsid w:val="005643CD"/>
    <w:pPr>
      <w:keepNext/>
      <w:spacing w:before="360"/>
      <w:jc w:val="center"/>
    </w:pPr>
    <w:rPr>
      <w:i/>
    </w:rPr>
  </w:style>
  <w:style w:type="paragraph" w:customStyle="1" w:styleId="Titreobjet">
    <w:name w:val="Titre objet"/>
    <w:basedOn w:val="Normal"/>
    <w:next w:val="Sous-titreobjet"/>
    <w:rsid w:val="005643CD"/>
    <w:pPr>
      <w:spacing w:before="360" w:after="360"/>
      <w:jc w:val="center"/>
    </w:pPr>
    <w:rPr>
      <w:b/>
    </w:rPr>
  </w:style>
  <w:style w:type="paragraph" w:customStyle="1" w:styleId="TitreobjetPagedecouverture">
    <w:name w:val="Titre objet (Page de couverture)"/>
    <w:basedOn w:val="Titreobjet"/>
    <w:next w:val="Sous-titreobjetPagedecouverture"/>
    <w:rsid w:val="005643CD"/>
  </w:style>
  <w:style w:type="paragraph" w:styleId="TOC1">
    <w:name w:val="toc 1"/>
    <w:basedOn w:val="Normal"/>
    <w:next w:val="Normal"/>
    <w:semiHidden/>
    <w:rsid w:val="005643CD"/>
    <w:pPr>
      <w:tabs>
        <w:tab w:val="right" w:leader="dot" w:pos="9071"/>
      </w:tabs>
      <w:spacing w:before="60"/>
      <w:ind w:left="850" w:hanging="850"/>
      <w:jc w:val="left"/>
    </w:pPr>
  </w:style>
  <w:style w:type="paragraph" w:styleId="TOC2">
    <w:name w:val="toc 2"/>
    <w:basedOn w:val="Normal"/>
    <w:next w:val="Normal"/>
    <w:semiHidden/>
    <w:rsid w:val="005643CD"/>
    <w:pPr>
      <w:tabs>
        <w:tab w:val="right" w:leader="dot" w:pos="9071"/>
      </w:tabs>
      <w:spacing w:before="60"/>
      <w:ind w:left="850" w:hanging="850"/>
      <w:jc w:val="left"/>
    </w:pPr>
  </w:style>
  <w:style w:type="paragraph" w:styleId="TOC3">
    <w:name w:val="toc 3"/>
    <w:basedOn w:val="Normal"/>
    <w:next w:val="Normal"/>
    <w:semiHidden/>
    <w:rsid w:val="005643CD"/>
    <w:pPr>
      <w:tabs>
        <w:tab w:val="right" w:leader="dot" w:pos="9071"/>
      </w:tabs>
      <w:spacing w:before="60"/>
      <w:ind w:left="850" w:hanging="850"/>
      <w:jc w:val="left"/>
    </w:pPr>
  </w:style>
  <w:style w:type="paragraph" w:styleId="TOC4">
    <w:name w:val="toc 4"/>
    <w:basedOn w:val="Normal"/>
    <w:next w:val="Normal"/>
    <w:semiHidden/>
    <w:rsid w:val="005643CD"/>
    <w:pPr>
      <w:tabs>
        <w:tab w:val="right" w:leader="dot" w:pos="9071"/>
      </w:tabs>
      <w:spacing w:before="60"/>
      <w:ind w:left="850" w:hanging="850"/>
      <w:jc w:val="left"/>
    </w:pPr>
  </w:style>
  <w:style w:type="paragraph" w:styleId="TOC5">
    <w:name w:val="toc 5"/>
    <w:basedOn w:val="Normal"/>
    <w:next w:val="Normal"/>
    <w:semiHidden/>
    <w:rsid w:val="005643CD"/>
    <w:pPr>
      <w:tabs>
        <w:tab w:val="right" w:leader="dot" w:pos="9071"/>
      </w:tabs>
      <w:spacing w:before="300"/>
      <w:jc w:val="left"/>
    </w:pPr>
  </w:style>
  <w:style w:type="paragraph" w:styleId="TOC6">
    <w:name w:val="toc 6"/>
    <w:basedOn w:val="Normal"/>
    <w:next w:val="Normal"/>
    <w:semiHidden/>
    <w:rsid w:val="005643CD"/>
    <w:pPr>
      <w:tabs>
        <w:tab w:val="right" w:leader="dot" w:pos="9071"/>
      </w:tabs>
      <w:spacing w:before="240"/>
      <w:jc w:val="left"/>
    </w:pPr>
  </w:style>
  <w:style w:type="paragraph" w:styleId="TOC7">
    <w:name w:val="toc 7"/>
    <w:basedOn w:val="Normal"/>
    <w:next w:val="Normal"/>
    <w:semiHidden/>
    <w:rsid w:val="005643CD"/>
    <w:pPr>
      <w:tabs>
        <w:tab w:val="right" w:leader="dot" w:pos="9071"/>
      </w:tabs>
      <w:spacing w:before="180"/>
      <w:jc w:val="left"/>
    </w:pPr>
  </w:style>
  <w:style w:type="paragraph" w:styleId="TOC8">
    <w:name w:val="toc 8"/>
    <w:basedOn w:val="Normal"/>
    <w:next w:val="Normal"/>
    <w:semiHidden/>
    <w:rsid w:val="005643CD"/>
    <w:pPr>
      <w:tabs>
        <w:tab w:val="right" w:leader="dot" w:pos="9071"/>
      </w:tabs>
      <w:jc w:val="left"/>
    </w:pPr>
  </w:style>
  <w:style w:type="paragraph" w:styleId="TOC9">
    <w:name w:val="toc 9"/>
    <w:basedOn w:val="Normal"/>
    <w:next w:val="Normal"/>
    <w:semiHidden/>
    <w:rsid w:val="005643CD"/>
    <w:pPr>
      <w:tabs>
        <w:tab w:val="right" w:leader="dot" w:pos="9071"/>
      </w:tabs>
    </w:pPr>
  </w:style>
  <w:style w:type="paragraph" w:styleId="TOCHeading">
    <w:name w:val="TOC Heading"/>
    <w:basedOn w:val="Normal"/>
    <w:next w:val="Normal"/>
    <w:qFormat/>
    <w:rsid w:val="005643CD"/>
    <w:pPr>
      <w:spacing w:after="240"/>
      <w:jc w:val="center"/>
    </w:pPr>
    <w:rPr>
      <w:b/>
      <w:sz w:val="28"/>
    </w:rPr>
  </w:style>
  <w:style w:type="paragraph" w:customStyle="1" w:styleId="Typeacteprincipal">
    <w:name w:val="Type acte principal"/>
    <w:basedOn w:val="Normal"/>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Normal"/>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Normal"/>
    <w:next w:val="Confidentialit"/>
    <w:rsid w:val="005643CD"/>
    <w:pPr>
      <w:spacing w:before="0" w:after="240"/>
      <w:ind w:left="5103"/>
      <w:jc w:val="left"/>
    </w:pPr>
  </w:style>
  <w:style w:type="character" w:customStyle="1" w:styleId="Heading5Char">
    <w:name w:val="Heading 5 Char"/>
    <w:basedOn w:val="DefaultParagraphFont"/>
    <w:link w:val="Heading5"/>
    <w:semiHidden/>
    <w:rsid w:val="00517B47"/>
    <w:rPr>
      <w:sz w:val="24"/>
      <w:lang w:eastAsia="en-IE"/>
    </w:rPr>
  </w:style>
  <w:style w:type="character" w:customStyle="1" w:styleId="Heading6Char">
    <w:name w:val="Heading 6 Char"/>
    <w:basedOn w:val="DefaultParagraphFont"/>
    <w:link w:val="Heading6"/>
    <w:semiHidden/>
    <w:rsid w:val="00517B47"/>
    <w:rPr>
      <w:sz w:val="24"/>
      <w:lang w:eastAsia="en-IE"/>
    </w:rPr>
  </w:style>
  <w:style w:type="character" w:customStyle="1" w:styleId="Heading7Char">
    <w:name w:val="Heading 7 Char"/>
    <w:basedOn w:val="DefaultParagraphFont"/>
    <w:link w:val="Heading7"/>
    <w:semiHidden/>
    <w:rsid w:val="00517B47"/>
    <w:rPr>
      <w:sz w:val="24"/>
      <w:lang w:eastAsia="en-IE"/>
    </w:rPr>
  </w:style>
  <w:style w:type="character" w:customStyle="1" w:styleId="Heading8Char">
    <w:name w:val="Heading 8 Char"/>
    <w:basedOn w:val="DefaultParagraphFont"/>
    <w:link w:val="Heading8"/>
    <w:semiHidden/>
    <w:rsid w:val="00517B47"/>
    <w:rPr>
      <w:sz w:val="24"/>
      <w:lang w:eastAsia="en-IE"/>
    </w:rPr>
  </w:style>
  <w:style w:type="character" w:customStyle="1" w:styleId="Heading9Char">
    <w:name w:val="Heading 9 Char"/>
    <w:basedOn w:val="DefaultParagraphFont"/>
    <w:link w:val="Heading9"/>
    <w:semiHidden/>
    <w:rsid w:val="00517B47"/>
    <w:rPr>
      <w:sz w:val="24"/>
      <w:lang w:eastAsia="en-IE"/>
    </w:rPr>
  </w:style>
  <w:style w:type="paragraph" w:styleId="ListParagraph">
    <w:name w:val="List Paragraph"/>
    <w:basedOn w:val="Normal"/>
    <w:link w:val="ListParagraphChar"/>
    <w:uiPriority w:val="34"/>
    <w:qFormat/>
    <w:rsid w:val="00517B47"/>
    <w:pPr>
      <w:spacing w:before="0" w:after="160" w:line="259" w:lineRule="auto"/>
      <w:ind w:left="720"/>
      <w:contextualSpacing/>
      <w:jc w:val="left"/>
    </w:pPr>
    <w:rPr>
      <w:rFonts w:ascii="Calibri" w:eastAsia="Calibri" w:hAnsi="Calibri"/>
      <w:sz w:val="22"/>
      <w:szCs w:val="22"/>
      <w:lang w:eastAsia="en-GB"/>
    </w:rPr>
  </w:style>
  <w:style w:type="character" w:customStyle="1" w:styleId="FootnoteTextChar">
    <w:name w:val="Footnote Text Char"/>
    <w:uiPriority w:val="99"/>
    <w:rsid w:val="00517B47"/>
    <w:rPr>
      <w:sz w:val="20"/>
    </w:rPr>
  </w:style>
  <w:style w:type="character" w:styleId="Hyperlink">
    <w:name w:val="Hyperlink"/>
    <w:rsid w:val="00517B47"/>
    <w:rPr>
      <w:color w:val="0563C1"/>
      <w:u w:val="single"/>
    </w:rPr>
  </w:style>
  <w:style w:type="paragraph" w:styleId="BalloonText">
    <w:name w:val="Balloon Text"/>
    <w:basedOn w:val="Normal"/>
    <w:link w:val="BalloonTextChar"/>
    <w:rsid w:val="00517B47"/>
    <w:pPr>
      <w:spacing w:before="0" w:after="0"/>
      <w:jc w:val="left"/>
    </w:pPr>
    <w:rPr>
      <w:rFonts w:ascii="Segoe UI" w:eastAsia="Calibri" w:hAnsi="Segoe UI" w:cs="Segoe UI"/>
      <w:sz w:val="18"/>
      <w:szCs w:val="18"/>
      <w:lang w:eastAsia="en-GB"/>
    </w:rPr>
  </w:style>
  <w:style w:type="character" w:customStyle="1" w:styleId="BalloonTextChar">
    <w:name w:val="Balloon Text Char"/>
    <w:basedOn w:val="DefaultParagraphFont"/>
    <w:link w:val="BalloonText"/>
    <w:rsid w:val="00517B47"/>
    <w:rPr>
      <w:rFonts w:ascii="Segoe UI" w:eastAsia="Calibri" w:hAnsi="Segoe UI" w:cs="Segoe UI"/>
      <w:sz w:val="18"/>
      <w:szCs w:val="18"/>
    </w:rPr>
  </w:style>
  <w:style w:type="character" w:customStyle="1" w:styleId="FooterChar">
    <w:name w:val="Footer Char"/>
    <w:rsid w:val="00517B47"/>
    <w:rPr>
      <w:sz w:val="16"/>
    </w:rPr>
  </w:style>
  <w:style w:type="character" w:styleId="CommentReference">
    <w:name w:val="annotation reference"/>
    <w:uiPriority w:val="99"/>
    <w:rsid w:val="00517B47"/>
    <w:rPr>
      <w:sz w:val="16"/>
      <w:szCs w:val="16"/>
    </w:rPr>
  </w:style>
  <w:style w:type="paragraph" w:styleId="CommentText">
    <w:name w:val="annotation text"/>
    <w:basedOn w:val="Normal"/>
    <w:link w:val="CommentTextChar"/>
    <w:uiPriority w:val="99"/>
    <w:rsid w:val="00517B47"/>
    <w:pPr>
      <w:spacing w:before="0" w:after="160"/>
      <w:jc w:val="left"/>
    </w:pPr>
    <w:rPr>
      <w:rFonts w:ascii="Calibri" w:eastAsia="Calibri" w:hAnsi="Calibri"/>
      <w:sz w:val="20"/>
      <w:szCs w:val="20"/>
      <w:lang w:eastAsia="en-GB"/>
    </w:rPr>
  </w:style>
  <w:style w:type="character" w:customStyle="1" w:styleId="CommentTextChar">
    <w:name w:val="Comment Text Char"/>
    <w:basedOn w:val="DefaultParagraphFont"/>
    <w:link w:val="CommentText"/>
    <w:uiPriority w:val="99"/>
    <w:rsid w:val="00517B47"/>
    <w:rPr>
      <w:rFonts w:ascii="Calibri" w:eastAsia="Calibri" w:hAnsi="Calibri"/>
    </w:rPr>
  </w:style>
  <w:style w:type="paragraph" w:styleId="CommentSubject">
    <w:name w:val="annotation subject"/>
    <w:basedOn w:val="CommentText"/>
    <w:next w:val="CommentText"/>
    <w:link w:val="CommentSubjectChar"/>
    <w:rsid w:val="00517B47"/>
    <w:rPr>
      <w:b/>
      <w:bCs/>
    </w:rPr>
  </w:style>
  <w:style w:type="character" w:customStyle="1" w:styleId="CommentSubjectChar">
    <w:name w:val="Comment Subject Char"/>
    <w:basedOn w:val="CommentTextChar"/>
    <w:link w:val="CommentSubject"/>
    <w:rsid w:val="00517B47"/>
    <w:rPr>
      <w:rFonts w:ascii="Calibri" w:eastAsia="Calibri" w:hAnsi="Calibri"/>
      <w:b/>
      <w:bCs/>
    </w:rPr>
  </w:style>
  <w:style w:type="character" w:styleId="FollowedHyperlink">
    <w:name w:val="FollowedHyperlink"/>
    <w:rsid w:val="00517B47"/>
    <w:rPr>
      <w:color w:val="954F72"/>
      <w:u w:val="single"/>
    </w:rPr>
  </w:style>
  <w:style w:type="table" w:customStyle="1" w:styleId="TableGrid1">
    <w:name w:val="Table Grid1"/>
    <w:basedOn w:val="TableNormal"/>
    <w:next w:val="TableGrid"/>
    <w:rsid w:val="00517B4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rsid w:val="00517B47"/>
    <w:rPr>
      <w:rFonts w:ascii="Calibri" w:eastAsia="Calibri" w:hAnsi="Calibri"/>
      <w:sz w:val="22"/>
      <w:szCs w:val="22"/>
    </w:rPr>
  </w:style>
  <w:style w:type="character" w:styleId="Strong">
    <w:name w:val="Strong"/>
    <w:qFormat/>
    <w:rsid w:val="00517B47"/>
    <w:rPr>
      <w:b/>
      <w:bCs/>
    </w:rPr>
  </w:style>
  <w:style w:type="character" w:customStyle="1" w:styleId="Mention1">
    <w:name w:val="Mention1"/>
    <w:rsid w:val="00517B47"/>
    <w:rPr>
      <w:color w:val="2B579A"/>
      <w:shd w:val="clear" w:color="auto" w:fill="E6E6E6"/>
    </w:rPr>
  </w:style>
  <w:style w:type="character" w:customStyle="1" w:styleId="normaltextrun">
    <w:name w:val="normaltextrun"/>
    <w:basedOn w:val="DefaultParagraphFont"/>
    <w:rsid w:val="00517B47"/>
  </w:style>
  <w:style w:type="character" w:customStyle="1" w:styleId="Heading2Char">
    <w:name w:val="Heading 2 Char"/>
    <w:uiPriority w:val="1"/>
    <w:rsid w:val="00517B47"/>
    <w:rPr>
      <w:b/>
    </w:rPr>
  </w:style>
  <w:style w:type="paragraph" w:customStyle="1" w:styleId="FooterCoverPage">
    <w:name w:val="Footer Cover Page"/>
    <w:basedOn w:val="Normal"/>
    <w:link w:val="FooterCoverPageChar"/>
    <w:rsid w:val="00517B47"/>
    <w:pPr>
      <w:keepNext/>
      <w:tabs>
        <w:tab w:val="center" w:pos="4535"/>
        <w:tab w:val="right" w:pos="9071"/>
        <w:tab w:val="right" w:pos="9921"/>
      </w:tabs>
      <w:spacing w:before="360" w:after="0"/>
      <w:ind w:left="-850" w:right="-850" w:hanging="360"/>
      <w:jc w:val="left"/>
      <w:outlineLvl w:val="0"/>
    </w:pPr>
  </w:style>
  <w:style w:type="character" w:customStyle="1" w:styleId="ListParagraphChar">
    <w:name w:val="List Paragraph Char"/>
    <w:link w:val="ListParagraph"/>
    <w:uiPriority w:val="34"/>
    <w:rsid w:val="00517B47"/>
    <w:rPr>
      <w:rFonts w:ascii="Calibri" w:eastAsia="Calibri" w:hAnsi="Calibri"/>
      <w:sz w:val="22"/>
      <w:szCs w:val="22"/>
    </w:rPr>
  </w:style>
  <w:style w:type="character" w:customStyle="1" w:styleId="FooterCoverPageChar">
    <w:name w:val="Footer Cover Page Char"/>
    <w:link w:val="FooterCoverPage"/>
    <w:rsid w:val="00517B47"/>
    <w:rPr>
      <w:sz w:val="24"/>
      <w:szCs w:val="24"/>
      <w:lang w:eastAsia="en-US"/>
    </w:rPr>
  </w:style>
  <w:style w:type="paragraph" w:customStyle="1" w:styleId="FooterSensitivity">
    <w:name w:val="Footer Sensitivity"/>
    <w:basedOn w:val="Normal"/>
    <w:link w:val="FooterSensitivityChar"/>
    <w:rsid w:val="00517B47"/>
    <w:pPr>
      <w:keepNext/>
      <w:pBdr>
        <w:top w:val="single" w:sz="4" w:space="1" w:color="auto"/>
        <w:left w:val="single" w:sz="4" w:space="4" w:color="auto"/>
        <w:bottom w:val="single" w:sz="4" w:space="1" w:color="auto"/>
        <w:right w:val="single" w:sz="4" w:space="4" w:color="auto"/>
      </w:pBdr>
      <w:spacing w:before="360" w:after="0"/>
      <w:ind w:left="113" w:right="113" w:hanging="360"/>
      <w:jc w:val="center"/>
      <w:outlineLvl w:val="0"/>
    </w:pPr>
    <w:rPr>
      <w:b/>
      <w:sz w:val="32"/>
    </w:rPr>
  </w:style>
  <w:style w:type="character" w:customStyle="1" w:styleId="FooterSensitivityChar">
    <w:name w:val="Footer Sensitivity Char"/>
    <w:link w:val="FooterSensitivity"/>
    <w:rsid w:val="00517B47"/>
    <w:rPr>
      <w:b/>
      <w:sz w:val="32"/>
      <w:szCs w:val="24"/>
      <w:lang w:eastAsia="en-US"/>
    </w:rPr>
  </w:style>
  <w:style w:type="paragraph" w:customStyle="1" w:styleId="HeaderCoverPage">
    <w:name w:val="Header Cover Page"/>
    <w:basedOn w:val="Normal"/>
    <w:link w:val="HeaderCoverPageChar"/>
    <w:rsid w:val="00517B47"/>
    <w:pPr>
      <w:keepNext/>
      <w:tabs>
        <w:tab w:val="center" w:pos="4535"/>
        <w:tab w:val="right" w:pos="9071"/>
      </w:tabs>
      <w:spacing w:before="0"/>
      <w:ind w:hanging="360"/>
      <w:outlineLvl w:val="0"/>
    </w:pPr>
  </w:style>
  <w:style w:type="character" w:customStyle="1" w:styleId="HeaderCoverPageChar">
    <w:name w:val="Header Cover Page Char"/>
    <w:link w:val="HeaderCoverPage"/>
    <w:rsid w:val="00517B47"/>
    <w:rPr>
      <w:sz w:val="24"/>
      <w:szCs w:val="24"/>
      <w:lang w:eastAsia="en-US"/>
    </w:rPr>
  </w:style>
  <w:style w:type="paragraph" w:customStyle="1" w:styleId="HeaderSensitivity">
    <w:name w:val="Header Sensitivity"/>
    <w:basedOn w:val="Normal"/>
    <w:link w:val="HeaderSensitivityChar"/>
    <w:rsid w:val="00517B47"/>
    <w:pPr>
      <w:keepNext/>
      <w:pBdr>
        <w:top w:val="single" w:sz="4" w:space="1" w:color="auto"/>
        <w:left w:val="single" w:sz="4" w:space="4" w:color="auto"/>
        <w:bottom w:val="single" w:sz="4" w:space="1" w:color="auto"/>
        <w:right w:val="single" w:sz="4" w:space="4" w:color="auto"/>
      </w:pBdr>
      <w:spacing w:before="0"/>
      <w:ind w:left="113" w:right="113" w:hanging="360"/>
      <w:jc w:val="center"/>
      <w:outlineLvl w:val="0"/>
    </w:pPr>
    <w:rPr>
      <w:b/>
      <w:sz w:val="32"/>
    </w:rPr>
  </w:style>
  <w:style w:type="character" w:customStyle="1" w:styleId="HeaderSensitivityChar">
    <w:name w:val="Header Sensitivity Char"/>
    <w:link w:val="HeaderSensitivity"/>
    <w:rsid w:val="00517B47"/>
    <w:rPr>
      <w:b/>
      <w:sz w:val="32"/>
      <w:szCs w:val="24"/>
      <w:lang w:eastAsia="en-US"/>
    </w:rPr>
  </w:style>
  <w:style w:type="paragraph" w:customStyle="1" w:styleId="HeaderSensitivityRight">
    <w:name w:val="Header Sensitivity Right"/>
    <w:basedOn w:val="Normal"/>
    <w:link w:val="HeaderSensitivityRightChar"/>
    <w:rsid w:val="00517B47"/>
    <w:pPr>
      <w:keepNext/>
      <w:numPr>
        <w:numId w:val="24"/>
      </w:numPr>
      <w:spacing w:before="0"/>
      <w:ind w:left="0"/>
      <w:jc w:val="right"/>
      <w:outlineLvl w:val="0"/>
    </w:pPr>
    <w:rPr>
      <w:sz w:val="28"/>
    </w:rPr>
  </w:style>
  <w:style w:type="character" w:customStyle="1" w:styleId="HeaderSensitivityRightChar">
    <w:name w:val="Header Sensitivity Right Char"/>
    <w:link w:val="HeaderSensitivityRight"/>
    <w:rsid w:val="00517B47"/>
    <w:rPr>
      <w:sz w:val="28"/>
      <w:szCs w:val="24"/>
      <w:lang w:eastAsia="en-US"/>
    </w:rPr>
  </w:style>
  <w:style w:type="character" w:customStyle="1" w:styleId="UnresolvedMention1">
    <w:name w:val="Unresolved Mention1"/>
    <w:locked/>
    <w:rsid w:val="00517B47"/>
    <w:rPr>
      <w:color w:val="605E5C"/>
      <w:shd w:val="clear" w:color="auto" w:fill="E1DFDD"/>
    </w:rPr>
  </w:style>
  <w:style w:type="character" w:customStyle="1" w:styleId="BodyPlaceholderText">
    <w:name w:val="BodyPlaceholderText"/>
    <w:basedOn w:val="PlaceholderText"/>
    <w:semiHidden/>
    <w:rsid w:val="00517B47"/>
    <w:rPr>
      <w:color w:val="3366CC"/>
    </w:rPr>
  </w:style>
  <w:style w:type="character" w:customStyle="1" w:styleId="CrossReference">
    <w:name w:val="Cross Reference"/>
    <w:basedOn w:val="DefaultParagraphFont"/>
    <w:uiPriority w:val="2"/>
    <w:rsid w:val="00517B47"/>
    <w:rPr>
      <w:i/>
    </w:rPr>
  </w:style>
  <w:style w:type="character" w:customStyle="1" w:styleId="InstructionBlue">
    <w:name w:val="InstructionBlue"/>
    <w:uiPriority w:val="1"/>
    <w:rsid w:val="00517B47"/>
    <w:rPr>
      <w:i/>
      <w:color w:val="3366CC"/>
    </w:rPr>
  </w:style>
  <w:style w:type="character" w:customStyle="1" w:styleId="InstructionPlaceholder">
    <w:name w:val="InstructionPlaceholder"/>
    <w:uiPriority w:val="1"/>
    <w:rsid w:val="00517B47"/>
    <w:rPr>
      <w:color w:val="CB3535"/>
    </w:rPr>
  </w:style>
  <w:style w:type="character" w:customStyle="1" w:styleId="InstructionRed">
    <w:name w:val="InstructionRed"/>
    <w:uiPriority w:val="1"/>
    <w:rsid w:val="00517B47"/>
    <w:rPr>
      <w:i/>
      <w:color w:val="CB3535"/>
    </w:rPr>
  </w:style>
  <w:style w:type="character" w:customStyle="1" w:styleId="MarkingLabel">
    <w:name w:val="MarkingLabel"/>
    <w:semiHidden/>
    <w:rsid w:val="00517B47"/>
    <w:rPr>
      <w:b/>
      <w:caps/>
      <w:sz w:val="28"/>
    </w:rPr>
  </w:style>
  <w:style w:type="character" w:customStyle="1" w:styleId="MarkingText">
    <w:name w:val="MarkingText"/>
    <w:semiHidden/>
    <w:rsid w:val="00517B47"/>
    <w:rPr>
      <w:i/>
      <w:sz w:val="28"/>
    </w:rPr>
  </w:style>
  <w:style w:type="character" w:styleId="PlaceholderText">
    <w:name w:val="Placeholder Text"/>
    <w:basedOn w:val="DefaultParagraphFont"/>
    <w:semiHidden/>
    <w:rsid w:val="00517B47"/>
    <w:rPr>
      <w:color w:val="288061"/>
    </w:rPr>
  </w:style>
  <w:style w:type="paragraph" w:customStyle="1" w:styleId="AfterTable">
    <w:name w:val="After Table"/>
    <w:semiHidden/>
    <w:rsid w:val="00517B47"/>
    <w:rPr>
      <w:sz w:val="4"/>
      <w:lang w:eastAsia="en-IE"/>
    </w:rPr>
  </w:style>
  <w:style w:type="paragraph" w:customStyle="1" w:styleId="AnnexTitle">
    <w:name w:val="AnnexTitle"/>
    <w:basedOn w:val="Normal"/>
    <w:next w:val="Normal"/>
    <w:uiPriority w:val="1"/>
    <w:qFormat/>
    <w:rsid w:val="00517B47"/>
    <w:pPr>
      <w:pageBreakBefore/>
      <w:numPr>
        <w:numId w:val="43"/>
      </w:numPr>
      <w:spacing w:before="0" w:after="480"/>
      <w:outlineLvl w:val="0"/>
    </w:pPr>
    <w:rPr>
      <w:b/>
      <w:sz w:val="32"/>
      <w:szCs w:val="20"/>
      <w:lang w:eastAsia="en-IE"/>
    </w:rPr>
  </w:style>
  <w:style w:type="paragraph" w:styleId="Caption">
    <w:name w:val="caption"/>
    <w:basedOn w:val="Normal"/>
    <w:next w:val="Normal"/>
    <w:semiHidden/>
    <w:rsid w:val="00517B47"/>
    <w:pPr>
      <w:spacing w:before="160" w:after="240"/>
    </w:pPr>
    <w:rPr>
      <w:i/>
      <w:sz w:val="22"/>
      <w:szCs w:val="20"/>
      <w:lang w:eastAsia="en-IE"/>
    </w:rPr>
  </w:style>
  <w:style w:type="paragraph" w:customStyle="1" w:styleId="ConfidentialUE">
    <w:name w:val="Confidential UE"/>
    <w:basedOn w:val="Normal"/>
    <w:semiHidden/>
    <w:rsid w:val="00517B47"/>
    <w:pPr>
      <w:spacing w:before="0" w:after="0"/>
      <w:jc w:val="center"/>
    </w:pPr>
    <w:rPr>
      <w:b/>
      <w:caps/>
      <w:sz w:val="32"/>
      <w:szCs w:val="20"/>
      <w:bdr w:val="single" w:sz="18" w:space="0" w:color="auto"/>
      <w:lang w:eastAsia="en-IE"/>
    </w:rPr>
  </w:style>
  <w:style w:type="paragraph" w:customStyle="1" w:styleId="Contact">
    <w:name w:val="Contact"/>
    <w:basedOn w:val="Normal"/>
    <w:uiPriority w:val="1"/>
    <w:rsid w:val="00517B47"/>
    <w:pPr>
      <w:spacing w:before="480" w:after="0"/>
      <w:ind w:left="567" w:hanging="567"/>
      <w:contextualSpacing/>
      <w:jc w:val="left"/>
    </w:pPr>
    <w:rPr>
      <w:szCs w:val="20"/>
      <w:lang w:eastAsia="en-IE"/>
    </w:rPr>
  </w:style>
  <w:style w:type="paragraph" w:customStyle="1" w:styleId="ContNum">
    <w:name w:val="ContNum"/>
    <w:basedOn w:val="Normal"/>
    <w:uiPriority w:val="1"/>
    <w:qFormat/>
    <w:rsid w:val="00517B47"/>
    <w:pPr>
      <w:numPr>
        <w:numId w:val="42"/>
      </w:numPr>
      <w:spacing w:before="0" w:after="240"/>
    </w:pPr>
    <w:rPr>
      <w:szCs w:val="20"/>
      <w:lang w:eastAsia="en-IE"/>
    </w:rPr>
  </w:style>
  <w:style w:type="paragraph" w:customStyle="1" w:styleId="ContNumLevel2">
    <w:name w:val="ContNum (Level 2)"/>
    <w:basedOn w:val="Normal"/>
    <w:uiPriority w:val="1"/>
    <w:rsid w:val="00517B47"/>
    <w:pPr>
      <w:numPr>
        <w:ilvl w:val="1"/>
        <w:numId w:val="42"/>
      </w:numPr>
      <w:spacing w:before="0" w:after="240"/>
    </w:pPr>
    <w:rPr>
      <w:szCs w:val="20"/>
      <w:lang w:eastAsia="en-IE"/>
    </w:rPr>
  </w:style>
  <w:style w:type="paragraph" w:customStyle="1" w:styleId="ContNumLevel3">
    <w:name w:val="ContNum (Level 3)"/>
    <w:basedOn w:val="Normal"/>
    <w:uiPriority w:val="1"/>
    <w:rsid w:val="00517B47"/>
    <w:pPr>
      <w:numPr>
        <w:ilvl w:val="2"/>
        <w:numId w:val="42"/>
      </w:numPr>
      <w:spacing w:before="0" w:after="240"/>
    </w:pPr>
    <w:rPr>
      <w:szCs w:val="20"/>
      <w:lang w:eastAsia="en-IE"/>
    </w:rPr>
  </w:style>
  <w:style w:type="paragraph" w:styleId="Date">
    <w:name w:val="Date"/>
    <w:basedOn w:val="Normal"/>
    <w:next w:val="References"/>
    <w:link w:val="DateChar"/>
    <w:uiPriority w:val="1"/>
    <w:rsid w:val="00517B47"/>
    <w:pPr>
      <w:spacing w:before="0" w:after="0"/>
      <w:ind w:left="5102" w:right="-567"/>
      <w:jc w:val="left"/>
    </w:pPr>
    <w:rPr>
      <w:szCs w:val="20"/>
      <w:lang w:eastAsia="en-IE"/>
    </w:rPr>
  </w:style>
  <w:style w:type="character" w:customStyle="1" w:styleId="DateChar">
    <w:name w:val="Date Char"/>
    <w:basedOn w:val="DefaultParagraphFont"/>
    <w:link w:val="Date"/>
    <w:uiPriority w:val="1"/>
    <w:rsid w:val="00517B47"/>
    <w:rPr>
      <w:sz w:val="24"/>
      <w:lang w:eastAsia="en-IE"/>
    </w:rPr>
  </w:style>
  <w:style w:type="paragraph" w:customStyle="1" w:styleId="Designator">
    <w:name w:val="Designator"/>
    <w:basedOn w:val="Normal"/>
    <w:semiHidden/>
    <w:rsid w:val="00517B47"/>
    <w:pPr>
      <w:spacing w:before="0" w:after="0"/>
      <w:jc w:val="center"/>
    </w:pPr>
    <w:rPr>
      <w:b/>
      <w:caps/>
      <w:sz w:val="32"/>
      <w:szCs w:val="20"/>
      <w:lang w:eastAsia="en-IE"/>
    </w:rPr>
  </w:style>
  <w:style w:type="paragraph" w:customStyle="1" w:styleId="DoubSign">
    <w:name w:val="DoubSign"/>
    <w:basedOn w:val="Normal"/>
    <w:uiPriority w:val="2"/>
    <w:rsid w:val="00517B47"/>
    <w:pPr>
      <w:spacing w:before="1200" w:after="0"/>
      <w:jc w:val="left"/>
    </w:pPr>
    <w:rPr>
      <w:szCs w:val="20"/>
      <w:lang w:eastAsia="en-IE"/>
    </w:rPr>
  </w:style>
  <w:style w:type="paragraph" w:customStyle="1" w:styleId="EmptyParagraph">
    <w:name w:val="Empty Paragraph"/>
    <w:basedOn w:val="Normal"/>
    <w:next w:val="Normal"/>
    <w:semiHidden/>
    <w:rsid w:val="00517B47"/>
    <w:pPr>
      <w:spacing w:before="240" w:after="240"/>
    </w:pPr>
    <w:rPr>
      <w:szCs w:val="20"/>
      <w:lang w:eastAsia="en-IE"/>
    </w:rPr>
  </w:style>
  <w:style w:type="paragraph" w:styleId="EndnoteText">
    <w:name w:val="endnote text"/>
    <w:basedOn w:val="Normal"/>
    <w:link w:val="EndnoteTextChar"/>
    <w:unhideWhenUsed/>
    <w:rsid w:val="00517B47"/>
    <w:pPr>
      <w:spacing w:before="0" w:after="240"/>
    </w:pPr>
    <w:rPr>
      <w:sz w:val="20"/>
      <w:szCs w:val="20"/>
      <w:lang w:eastAsia="en-IE"/>
    </w:rPr>
  </w:style>
  <w:style w:type="character" w:customStyle="1" w:styleId="EndnoteTextChar">
    <w:name w:val="Endnote Text Char"/>
    <w:basedOn w:val="DefaultParagraphFont"/>
    <w:link w:val="EndnoteText"/>
    <w:rsid w:val="00517B47"/>
    <w:rPr>
      <w:lang w:eastAsia="en-IE"/>
    </w:rPr>
  </w:style>
  <w:style w:type="paragraph" w:customStyle="1" w:styleId="FigureBody">
    <w:name w:val="Figure Body"/>
    <w:basedOn w:val="Normal"/>
    <w:next w:val="FigureSource"/>
    <w:uiPriority w:val="2"/>
    <w:rsid w:val="00517B47"/>
    <w:pPr>
      <w:keepNext/>
      <w:spacing w:before="0" w:after="40"/>
    </w:pPr>
    <w:rPr>
      <w:szCs w:val="20"/>
      <w:lang w:eastAsia="en-IE"/>
    </w:rPr>
  </w:style>
  <w:style w:type="paragraph" w:customStyle="1" w:styleId="FigureBody1">
    <w:name w:val="Figure Body 1"/>
    <w:basedOn w:val="Text1"/>
    <w:next w:val="FigureSource1"/>
    <w:uiPriority w:val="2"/>
    <w:rsid w:val="00517B47"/>
    <w:pPr>
      <w:keepNext/>
      <w:spacing w:before="0" w:after="40"/>
      <w:ind w:left="482"/>
    </w:pPr>
    <w:rPr>
      <w:szCs w:val="20"/>
      <w:lang w:eastAsia="en-IE"/>
    </w:rPr>
  </w:style>
  <w:style w:type="paragraph" w:customStyle="1" w:styleId="FigureBody2">
    <w:name w:val="Figure Body 2"/>
    <w:basedOn w:val="Text2"/>
    <w:next w:val="FigureSource2"/>
    <w:uiPriority w:val="2"/>
    <w:rsid w:val="00517B47"/>
    <w:pPr>
      <w:keepNext/>
      <w:spacing w:before="0" w:after="40"/>
      <w:ind w:left="1202"/>
    </w:pPr>
    <w:rPr>
      <w:szCs w:val="20"/>
      <w:lang w:eastAsia="en-IE"/>
    </w:rPr>
  </w:style>
  <w:style w:type="paragraph" w:customStyle="1" w:styleId="FigureBody3">
    <w:name w:val="Figure Body 3"/>
    <w:basedOn w:val="Text3"/>
    <w:next w:val="FigureSource3"/>
    <w:uiPriority w:val="2"/>
    <w:rsid w:val="00517B47"/>
    <w:pPr>
      <w:keepNext/>
      <w:spacing w:before="0" w:after="40"/>
      <w:ind w:left="1202"/>
    </w:pPr>
    <w:rPr>
      <w:szCs w:val="20"/>
      <w:lang w:eastAsia="en-IE"/>
    </w:rPr>
  </w:style>
  <w:style w:type="paragraph" w:customStyle="1" w:styleId="FigureBody4">
    <w:name w:val="Figure Body 4"/>
    <w:basedOn w:val="Text4"/>
    <w:next w:val="FigureSource4"/>
    <w:uiPriority w:val="2"/>
    <w:rsid w:val="00517B47"/>
    <w:pPr>
      <w:keepNext/>
      <w:spacing w:before="0" w:after="40"/>
      <w:ind w:left="1202"/>
    </w:pPr>
    <w:rPr>
      <w:szCs w:val="20"/>
      <w:lang w:eastAsia="en-IE"/>
    </w:rPr>
  </w:style>
  <w:style w:type="paragraph" w:customStyle="1" w:styleId="FigureSource">
    <w:name w:val="Figure Source"/>
    <w:basedOn w:val="Normal"/>
    <w:next w:val="Normal"/>
    <w:uiPriority w:val="2"/>
    <w:rsid w:val="00517B47"/>
    <w:pPr>
      <w:spacing w:before="0" w:after="240"/>
    </w:pPr>
    <w:rPr>
      <w:sz w:val="20"/>
      <w:szCs w:val="20"/>
      <w:lang w:eastAsia="en-IE"/>
    </w:rPr>
  </w:style>
  <w:style w:type="paragraph" w:customStyle="1" w:styleId="FigureSource1">
    <w:name w:val="Figure Source 1"/>
    <w:basedOn w:val="Text1"/>
    <w:next w:val="Text1"/>
    <w:uiPriority w:val="2"/>
    <w:rsid w:val="00517B47"/>
    <w:pPr>
      <w:spacing w:before="0" w:after="240"/>
      <w:ind w:left="482"/>
    </w:pPr>
    <w:rPr>
      <w:sz w:val="20"/>
      <w:szCs w:val="20"/>
      <w:lang w:eastAsia="en-IE"/>
    </w:rPr>
  </w:style>
  <w:style w:type="paragraph" w:customStyle="1" w:styleId="FigureSource2">
    <w:name w:val="Figure Source 2"/>
    <w:basedOn w:val="Text2"/>
    <w:next w:val="Text2"/>
    <w:uiPriority w:val="2"/>
    <w:rsid w:val="00517B47"/>
    <w:pPr>
      <w:spacing w:before="0" w:after="240"/>
      <w:ind w:left="1202"/>
    </w:pPr>
    <w:rPr>
      <w:sz w:val="20"/>
      <w:szCs w:val="20"/>
      <w:lang w:eastAsia="en-IE"/>
    </w:rPr>
  </w:style>
  <w:style w:type="paragraph" w:customStyle="1" w:styleId="FigureSource3">
    <w:name w:val="Figure Source 3"/>
    <w:basedOn w:val="Text3"/>
    <w:next w:val="Text3"/>
    <w:uiPriority w:val="2"/>
    <w:rsid w:val="00517B47"/>
    <w:pPr>
      <w:spacing w:before="0" w:after="240"/>
      <w:ind w:left="1202"/>
    </w:pPr>
    <w:rPr>
      <w:sz w:val="20"/>
      <w:szCs w:val="20"/>
      <w:lang w:eastAsia="en-IE"/>
    </w:rPr>
  </w:style>
  <w:style w:type="paragraph" w:customStyle="1" w:styleId="FigureSource4">
    <w:name w:val="Figure Source 4"/>
    <w:basedOn w:val="Text4"/>
    <w:next w:val="Text4"/>
    <w:uiPriority w:val="2"/>
    <w:rsid w:val="00517B47"/>
    <w:pPr>
      <w:spacing w:before="0" w:after="240"/>
      <w:ind w:left="1202"/>
    </w:pPr>
    <w:rPr>
      <w:sz w:val="20"/>
      <w:szCs w:val="20"/>
      <w:lang w:eastAsia="en-IE"/>
    </w:rPr>
  </w:style>
  <w:style w:type="paragraph" w:customStyle="1" w:styleId="FigureTitle">
    <w:name w:val="Figure Title"/>
    <w:basedOn w:val="Normal"/>
    <w:next w:val="FigureBody"/>
    <w:uiPriority w:val="2"/>
    <w:rsid w:val="00517B47"/>
    <w:pPr>
      <w:keepNext/>
      <w:spacing w:before="0"/>
    </w:pPr>
    <w:rPr>
      <w:b/>
      <w:i/>
      <w:szCs w:val="20"/>
      <w:lang w:eastAsia="en-IE"/>
    </w:rPr>
  </w:style>
  <w:style w:type="paragraph" w:customStyle="1" w:styleId="FigureTitle1">
    <w:name w:val="Figure Title 1"/>
    <w:basedOn w:val="Text1"/>
    <w:next w:val="FigureBody1"/>
    <w:uiPriority w:val="2"/>
    <w:rsid w:val="00517B47"/>
    <w:pPr>
      <w:keepNext/>
      <w:spacing w:before="0"/>
      <w:ind w:left="482"/>
    </w:pPr>
    <w:rPr>
      <w:b/>
      <w:i/>
      <w:szCs w:val="20"/>
      <w:lang w:eastAsia="en-IE"/>
    </w:rPr>
  </w:style>
  <w:style w:type="paragraph" w:customStyle="1" w:styleId="FigureTitle2">
    <w:name w:val="Figure Title 2"/>
    <w:basedOn w:val="Text2"/>
    <w:next w:val="FigureBody2"/>
    <w:uiPriority w:val="2"/>
    <w:rsid w:val="00517B47"/>
    <w:pPr>
      <w:keepNext/>
      <w:spacing w:before="0"/>
      <w:ind w:left="1202"/>
    </w:pPr>
    <w:rPr>
      <w:b/>
      <w:i/>
      <w:szCs w:val="20"/>
      <w:lang w:eastAsia="en-IE"/>
    </w:rPr>
  </w:style>
  <w:style w:type="paragraph" w:customStyle="1" w:styleId="FigureTitle3">
    <w:name w:val="Figure Title 3"/>
    <w:basedOn w:val="Text3"/>
    <w:next w:val="FigureBody3"/>
    <w:uiPriority w:val="2"/>
    <w:rsid w:val="00517B47"/>
    <w:pPr>
      <w:keepNext/>
      <w:spacing w:before="0"/>
      <w:ind w:left="1202"/>
    </w:pPr>
    <w:rPr>
      <w:b/>
      <w:i/>
      <w:szCs w:val="20"/>
      <w:lang w:eastAsia="en-IE"/>
    </w:rPr>
  </w:style>
  <w:style w:type="paragraph" w:customStyle="1" w:styleId="FigureTitle4">
    <w:name w:val="Figure Title 4"/>
    <w:basedOn w:val="Text4"/>
    <w:next w:val="FigureBody4"/>
    <w:uiPriority w:val="2"/>
    <w:rsid w:val="00517B47"/>
    <w:pPr>
      <w:keepNext/>
      <w:spacing w:before="0"/>
      <w:ind w:left="1202"/>
    </w:pPr>
    <w:rPr>
      <w:b/>
      <w:i/>
      <w:szCs w:val="20"/>
      <w:lang w:eastAsia="en-IE"/>
    </w:rPr>
  </w:style>
  <w:style w:type="paragraph" w:customStyle="1" w:styleId="FooterLine">
    <w:name w:val="Footer Line"/>
    <w:basedOn w:val="Footer"/>
    <w:next w:val="Footer"/>
    <w:uiPriority w:val="2"/>
    <w:rsid w:val="00517B47"/>
    <w:pPr>
      <w:tabs>
        <w:tab w:val="clear" w:pos="4535"/>
        <w:tab w:val="clear" w:pos="9071"/>
        <w:tab w:val="clear" w:pos="9921"/>
        <w:tab w:val="right" w:pos="8646"/>
      </w:tabs>
      <w:spacing w:before="120" w:line="264" w:lineRule="auto"/>
      <w:ind w:left="0" w:right="0"/>
      <w:jc w:val="both"/>
    </w:pPr>
    <w:rPr>
      <w:sz w:val="16"/>
      <w:szCs w:val="20"/>
      <w:lang w:eastAsia="en-IE"/>
    </w:rPr>
  </w:style>
  <w:style w:type="paragraph" w:customStyle="1" w:styleId="HistoryTable">
    <w:name w:val="HistoryTable"/>
    <w:basedOn w:val="Normal"/>
    <w:uiPriority w:val="2"/>
    <w:rsid w:val="00517B47"/>
    <w:pPr>
      <w:spacing w:before="60" w:after="60"/>
      <w:jc w:val="left"/>
    </w:pPr>
    <w:rPr>
      <w:sz w:val="20"/>
      <w:szCs w:val="20"/>
      <w:lang w:eastAsia="en-IE"/>
    </w:rPr>
  </w:style>
  <w:style w:type="paragraph" w:customStyle="1" w:styleId="HistTableHeading">
    <w:name w:val="HistTableHeading"/>
    <w:basedOn w:val="Normal"/>
    <w:next w:val="HistoryTable"/>
    <w:uiPriority w:val="2"/>
    <w:rsid w:val="00517B47"/>
    <w:pPr>
      <w:spacing w:before="240" w:after="240"/>
      <w:jc w:val="center"/>
    </w:pPr>
    <w:rPr>
      <w:rFonts w:ascii="Times New Roman Bold" w:hAnsi="Times New Roman Bold"/>
      <w:b/>
      <w:caps/>
      <w:szCs w:val="20"/>
      <w:lang w:eastAsia="en-IE"/>
    </w:rPr>
  </w:style>
  <w:style w:type="paragraph" w:customStyle="1" w:styleId="LegalNumPar">
    <w:name w:val="LegalNumPar"/>
    <w:basedOn w:val="Normal"/>
    <w:uiPriority w:val="1"/>
    <w:qFormat/>
    <w:rsid w:val="00517B47"/>
    <w:pPr>
      <w:numPr>
        <w:numId w:val="41"/>
      </w:numPr>
      <w:spacing w:before="0" w:after="240" w:line="360" w:lineRule="auto"/>
    </w:pPr>
    <w:rPr>
      <w:szCs w:val="20"/>
      <w:lang w:eastAsia="en-IE"/>
    </w:rPr>
  </w:style>
  <w:style w:type="paragraph" w:customStyle="1" w:styleId="LegalNumPar2">
    <w:name w:val="LegalNumPar2"/>
    <w:basedOn w:val="Normal"/>
    <w:uiPriority w:val="1"/>
    <w:rsid w:val="00517B47"/>
    <w:pPr>
      <w:numPr>
        <w:ilvl w:val="1"/>
        <w:numId w:val="41"/>
      </w:numPr>
      <w:spacing w:before="0" w:after="240" w:line="360" w:lineRule="auto"/>
    </w:pPr>
    <w:rPr>
      <w:szCs w:val="20"/>
      <w:lang w:eastAsia="en-IE"/>
    </w:rPr>
  </w:style>
  <w:style w:type="paragraph" w:customStyle="1" w:styleId="LegalNumPar3">
    <w:name w:val="LegalNumPar3"/>
    <w:basedOn w:val="Normal"/>
    <w:uiPriority w:val="1"/>
    <w:rsid w:val="00517B47"/>
    <w:pPr>
      <w:numPr>
        <w:ilvl w:val="2"/>
        <w:numId w:val="41"/>
      </w:numPr>
      <w:spacing w:before="0" w:after="240" w:line="360" w:lineRule="auto"/>
    </w:pPr>
    <w:rPr>
      <w:szCs w:val="20"/>
      <w:lang w:eastAsia="en-IE"/>
    </w:rPr>
  </w:style>
  <w:style w:type="paragraph" w:styleId="ListBullet">
    <w:name w:val="List Bullet"/>
    <w:basedOn w:val="Normal"/>
    <w:uiPriority w:val="1"/>
    <w:rsid w:val="00517B47"/>
    <w:pPr>
      <w:numPr>
        <w:numId w:val="39"/>
      </w:numPr>
      <w:spacing w:before="0" w:after="240"/>
    </w:pPr>
    <w:rPr>
      <w:szCs w:val="20"/>
      <w:lang w:eastAsia="en-IE"/>
    </w:rPr>
  </w:style>
  <w:style w:type="paragraph" w:customStyle="1" w:styleId="ListBulletLevel2">
    <w:name w:val="List Bullet (Level 2)"/>
    <w:basedOn w:val="Normal"/>
    <w:uiPriority w:val="1"/>
    <w:rsid w:val="00517B47"/>
    <w:pPr>
      <w:numPr>
        <w:ilvl w:val="1"/>
        <w:numId w:val="39"/>
      </w:numPr>
      <w:spacing w:before="0" w:after="240"/>
    </w:pPr>
    <w:rPr>
      <w:szCs w:val="20"/>
      <w:lang w:eastAsia="en-IE"/>
    </w:rPr>
  </w:style>
  <w:style w:type="paragraph" w:customStyle="1" w:styleId="ListBulletLevel3">
    <w:name w:val="List Bullet (Level 3)"/>
    <w:basedOn w:val="Normal"/>
    <w:uiPriority w:val="1"/>
    <w:semiHidden/>
    <w:unhideWhenUsed/>
    <w:rsid w:val="00517B47"/>
    <w:pPr>
      <w:numPr>
        <w:ilvl w:val="2"/>
        <w:numId w:val="39"/>
      </w:numPr>
      <w:spacing w:before="0" w:after="240"/>
    </w:pPr>
    <w:rPr>
      <w:szCs w:val="20"/>
      <w:lang w:eastAsia="en-IE"/>
    </w:rPr>
  </w:style>
  <w:style w:type="paragraph" w:customStyle="1" w:styleId="ListBulletLevel4">
    <w:name w:val="List Bullet (Level 4)"/>
    <w:basedOn w:val="Normal"/>
    <w:uiPriority w:val="1"/>
    <w:semiHidden/>
    <w:unhideWhenUsed/>
    <w:rsid w:val="00517B47"/>
    <w:pPr>
      <w:numPr>
        <w:ilvl w:val="3"/>
        <w:numId w:val="39"/>
      </w:numPr>
      <w:spacing w:before="0" w:after="240"/>
    </w:pPr>
    <w:rPr>
      <w:szCs w:val="20"/>
      <w:lang w:eastAsia="en-IE"/>
    </w:rPr>
  </w:style>
  <w:style w:type="paragraph" w:customStyle="1" w:styleId="ListBullet1">
    <w:name w:val="List Bullet 1"/>
    <w:basedOn w:val="Text1"/>
    <w:uiPriority w:val="1"/>
    <w:rsid w:val="00517B47"/>
    <w:pPr>
      <w:numPr>
        <w:numId w:val="38"/>
      </w:numPr>
      <w:spacing w:before="0" w:after="240"/>
    </w:pPr>
    <w:rPr>
      <w:szCs w:val="20"/>
      <w:lang w:eastAsia="en-IE"/>
    </w:rPr>
  </w:style>
  <w:style w:type="paragraph" w:customStyle="1" w:styleId="ListBullet1Level2">
    <w:name w:val="List Bullet 1 (Level 2)"/>
    <w:basedOn w:val="Text1"/>
    <w:uiPriority w:val="1"/>
    <w:rsid w:val="00517B47"/>
    <w:pPr>
      <w:numPr>
        <w:ilvl w:val="1"/>
        <w:numId w:val="38"/>
      </w:numPr>
      <w:spacing w:before="0" w:after="240"/>
    </w:pPr>
    <w:rPr>
      <w:szCs w:val="20"/>
      <w:lang w:eastAsia="en-IE"/>
    </w:rPr>
  </w:style>
  <w:style w:type="paragraph" w:customStyle="1" w:styleId="ListBullet1Level3">
    <w:name w:val="List Bullet 1 (Level 3)"/>
    <w:basedOn w:val="Text1"/>
    <w:uiPriority w:val="1"/>
    <w:semiHidden/>
    <w:unhideWhenUsed/>
    <w:rsid w:val="00517B47"/>
    <w:pPr>
      <w:numPr>
        <w:ilvl w:val="2"/>
        <w:numId w:val="38"/>
      </w:numPr>
      <w:spacing w:before="0" w:after="240"/>
    </w:pPr>
    <w:rPr>
      <w:szCs w:val="20"/>
      <w:lang w:eastAsia="en-IE"/>
    </w:rPr>
  </w:style>
  <w:style w:type="paragraph" w:customStyle="1" w:styleId="ListBullet1Level4">
    <w:name w:val="List Bullet 1 (Level 4)"/>
    <w:basedOn w:val="Text1"/>
    <w:uiPriority w:val="1"/>
    <w:semiHidden/>
    <w:unhideWhenUsed/>
    <w:rsid w:val="00517B47"/>
    <w:pPr>
      <w:numPr>
        <w:ilvl w:val="3"/>
        <w:numId w:val="38"/>
      </w:numPr>
      <w:spacing w:before="0" w:after="240"/>
    </w:pPr>
    <w:rPr>
      <w:szCs w:val="20"/>
      <w:lang w:eastAsia="en-IE"/>
    </w:rPr>
  </w:style>
  <w:style w:type="paragraph" w:styleId="ListBullet2">
    <w:name w:val="List Bullet 2"/>
    <w:basedOn w:val="Text2"/>
    <w:uiPriority w:val="1"/>
    <w:rsid w:val="00517B47"/>
    <w:pPr>
      <w:numPr>
        <w:numId w:val="47"/>
      </w:numPr>
      <w:spacing w:before="0" w:after="240"/>
    </w:pPr>
    <w:rPr>
      <w:szCs w:val="20"/>
      <w:lang w:eastAsia="en-IE"/>
    </w:rPr>
  </w:style>
  <w:style w:type="paragraph" w:customStyle="1" w:styleId="ListBullet2Level2">
    <w:name w:val="List Bullet 2 (Level 2)"/>
    <w:basedOn w:val="Text2"/>
    <w:uiPriority w:val="1"/>
    <w:rsid w:val="00517B47"/>
    <w:pPr>
      <w:numPr>
        <w:ilvl w:val="1"/>
        <w:numId w:val="37"/>
      </w:numPr>
      <w:spacing w:before="0" w:after="240"/>
    </w:pPr>
    <w:rPr>
      <w:szCs w:val="20"/>
      <w:lang w:eastAsia="en-IE"/>
    </w:rPr>
  </w:style>
  <w:style w:type="paragraph" w:customStyle="1" w:styleId="ListBullet2Level3">
    <w:name w:val="List Bullet 2 (Level 3)"/>
    <w:basedOn w:val="Text2"/>
    <w:uiPriority w:val="1"/>
    <w:semiHidden/>
    <w:unhideWhenUsed/>
    <w:rsid w:val="00517B47"/>
    <w:pPr>
      <w:numPr>
        <w:ilvl w:val="2"/>
        <w:numId w:val="37"/>
      </w:numPr>
      <w:spacing w:before="0" w:after="240"/>
    </w:pPr>
    <w:rPr>
      <w:szCs w:val="20"/>
      <w:lang w:eastAsia="en-IE"/>
    </w:rPr>
  </w:style>
  <w:style w:type="paragraph" w:customStyle="1" w:styleId="ListBullet2Level4">
    <w:name w:val="List Bullet 2 (Level 4)"/>
    <w:basedOn w:val="Text2"/>
    <w:uiPriority w:val="1"/>
    <w:semiHidden/>
    <w:unhideWhenUsed/>
    <w:rsid w:val="00517B47"/>
    <w:pPr>
      <w:numPr>
        <w:ilvl w:val="3"/>
        <w:numId w:val="37"/>
      </w:numPr>
      <w:spacing w:before="0" w:after="240"/>
    </w:pPr>
    <w:rPr>
      <w:szCs w:val="20"/>
      <w:lang w:eastAsia="en-IE"/>
    </w:rPr>
  </w:style>
  <w:style w:type="paragraph" w:styleId="ListBullet3">
    <w:name w:val="List Bullet 3"/>
    <w:basedOn w:val="Text3"/>
    <w:uiPriority w:val="1"/>
    <w:rsid w:val="00517B47"/>
    <w:pPr>
      <w:numPr>
        <w:numId w:val="36"/>
      </w:numPr>
      <w:spacing w:before="0" w:after="240"/>
    </w:pPr>
    <w:rPr>
      <w:szCs w:val="20"/>
      <w:lang w:eastAsia="en-IE"/>
    </w:rPr>
  </w:style>
  <w:style w:type="paragraph" w:customStyle="1" w:styleId="ListBullet3Level2">
    <w:name w:val="List Bullet 3 (Level 2)"/>
    <w:basedOn w:val="Text3"/>
    <w:uiPriority w:val="1"/>
    <w:rsid w:val="00517B47"/>
    <w:pPr>
      <w:numPr>
        <w:ilvl w:val="1"/>
        <w:numId w:val="36"/>
      </w:numPr>
      <w:spacing w:before="0" w:after="240"/>
    </w:pPr>
    <w:rPr>
      <w:szCs w:val="20"/>
      <w:lang w:eastAsia="en-IE"/>
    </w:rPr>
  </w:style>
  <w:style w:type="paragraph" w:customStyle="1" w:styleId="ListBullet3Level3">
    <w:name w:val="List Bullet 3 (Level 3)"/>
    <w:basedOn w:val="Text3"/>
    <w:uiPriority w:val="1"/>
    <w:semiHidden/>
    <w:unhideWhenUsed/>
    <w:rsid w:val="00517B47"/>
    <w:pPr>
      <w:numPr>
        <w:ilvl w:val="2"/>
        <w:numId w:val="36"/>
      </w:numPr>
      <w:spacing w:before="0" w:after="240"/>
    </w:pPr>
    <w:rPr>
      <w:szCs w:val="20"/>
      <w:lang w:eastAsia="en-IE"/>
    </w:rPr>
  </w:style>
  <w:style w:type="paragraph" w:customStyle="1" w:styleId="ListBullet3Level4">
    <w:name w:val="List Bullet 3 (Level 4)"/>
    <w:basedOn w:val="Text3"/>
    <w:uiPriority w:val="1"/>
    <w:semiHidden/>
    <w:unhideWhenUsed/>
    <w:rsid w:val="00517B47"/>
    <w:pPr>
      <w:numPr>
        <w:ilvl w:val="3"/>
        <w:numId w:val="36"/>
      </w:numPr>
      <w:spacing w:before="0" w:after="240"/>
    </w:pPr>
    <w:rPr>
      <w:szCs w:val="20"/>
      <w:lang w:eastAsia="en-IE"/>
    </w:rPr>
  </w:style>
  <w:style w:type="paragraph" w:styleId="ListBullet4">
    <w:name w:val="List Bullet 4"/>
    <w:basedOn w:val="Text4"/>
    <w:uiPriority w:val="1"/>
    <w:rsid w:val="00517B47"/>
    <w:pPr>
      <w:numPr>
        <w:numId w:val="35"/>
      </w:numPr>
      <w:spacing w:before="0" w:after="240"/>
    </w:pPr>
    <w:rPr>
      <w:szCs w:val="20"/>
      <w:lang w:eastAsia="en-IE"/>
    </w:rPr>
  </w:style>
  <w:style w:type="paragraph" w:customStyle="1" w:styleId="ListBullet4Level2">
    <w:name w:val="List Bullet 4 (Level 2)"/>
    <w:basedOn w:val="Text4"/>
    <w:uiPriority w:val="1"/>
    <w:rsid w:val="00517B47"/>
    <w:pPr>
      <w:numPr>
        <w:ilvl w:val="1"/>
        <w:numId w:val="35"/>
      </w:numPr>
      <w:spacing w:before="0" w:after="240"/>
    </w:pPr>
    <w:rPr>
      <w:szCs w:val="20"/>
      <w:lang w:eastAsia="en-IE"/>
    </w:rPr>
  </w:style>
  <w:style w:type="paragraph" w:customStyle="1" w:styleId="ListBullet4Level3">
    <w:name w:val="List Bullet 4 (Level 3)"/>
    <w:basedOn w:val="Text4"/>
    <w:uiPriority w:val="1"/>
    <w:semiHidden/>
    <w:unhideWhenUsed/>
    <w:rsid w:val="00517B47"/>
    <w:pPr>
      <w:numPr>
        <w:ilvl w:val="2"/>
        <w:numId w:val="35"/>
      </w:numPr>
      <w:spacing w:before="0" w:after="240"/>
    </w:pPr>
    <w:rPr>
      <w:szCs w:val="20"/>
      <w:lang w:eastAsia="en-IE"/>
    </w:rPr>
  </w:style>
  <w:style w:type="paragraph" w:customStyle="1" w:styleId="ListBullet4Level4">
    <w:name w:val="List Bullet 4 (Level 4)"/>
    <w:basedOn w:val="Text4"/>
    <w:uiPriority w:val="1"/>
    <w:semiHidden/>
    <w:unhideWhenUsed/>
    <w:rsid w:val="00517B47"/>
    <w:pPr>
      <w:numPr>
        <w:ilvl w:val="3"/>
        <w:numId w:val="35"/>
      </w:numPr>
      <w:spacing w:before="0" w:after="240"/>
    </w:pPr>
    <w:rPr>
      <w:szCs w:val="20"/>
      <w:lang w:eastAsia="en-IE"/>
    </w:rPr>
  </w:style>
  <w:style w:type="paragraph" w:customStyle="1" w:styleId="ListDash">
    <w:name w:val="List Dash"/>
    <w:basedOn w:val="Normal"/>
    <w:uiPriority w:val="1"/>
    <w:rsid w:val="00517B47"/>
    <w:pPr>
      <w:numPr>
        <w:numId w:val="29"/>
      </w:numPr>
      <w:spacing w:before="0" w:after="240"/>
    </w:pPr>
    <w:rPr>
      <w:szCs w:val="20"/>
      <w:lang w:eastAsia="en-IE"/>
    </w:rPr>
  </w:style>
  <w:style w:type="paragraph" w:customStyle="1" w:styleId="ListDashLevel2">
    <w:name w:val="List Dash (Level 2)"/>
    <w:basedOn w:val="Normal"/>
    <w:uiPriority w:val="1"/>
    <w:rsid w:val="00517B47"/>
    <w:pPr>
      <w:numPr>
        <w:ilvl w:val="1"/>
        <w:numId w:val="29"/>
      </w:numPr>
      <w:spacing w:before="0" w:after="240"/>
    </w:pPr>
    <w:rPr>
      <w:szCs w:val="20"/>
      <w:lang w:eastAsia="en-IE"/>
    </w:rPr>
  </w:style>
  <w:style w:type="paragraph" w:customStyle="1" w:styleId="ListDashLevel3">
    <w:name w:val="List Dash (Level 3)"/>
    <w:basedOn w:val="Normal"/>
    <w:uiPriority w:val="1"/>
    <w:semiHidden/>
    <w:unhideWhenUsed/>
    <w:rsid w:val="00517B47"/>
    <w:pPr>
      <w:numPr>
        <w:ilvl w:val="2"/>
        <w:numId w:val="29"/>
      </w:numPr>
      <w:spacing w:before="0" w:after="240"/>
    </w:pPr>
    <w:rPr>
      <w:szCs w:val="20"/>
      <w:lang w:eastAsia="en-IE"/>
    </w:rPr>
  </w:style>
  <w:style w:type="paragraph" w:customStyle="1" w:styleId="ListDashLevel4">
    <w:name w:val="List Dash (Level 4)"/>
    <w:basedOn w:val="Normal"/>
    <w:uiPriority w:val="1"/>
    <w:semiHidden/>
    <w:unhideWhenUsed/>
    <w:rsid w:val="00517B47"/>
    <w:pPr>
      <w:numPr>
        <w:ilvl w:val="3"/>
        <w:numId w:val="29"/>
      </w:numPr>
      <w:spacing w:before="0" w:after="240"/>
    </w:pPr>
    <w:rPr>
      <w:szCs w:val="20"/>
      <w:lang w:eastAsia="en-IE"/>
    </w:rPr>
  </w:style>
  <w:style w:type="paragraph" w:customStyle="1" w:styleId="ListDash1">
    <w:name w:val="List Dash 1"/>
    <w:basedOn w:val="Text1"/>
    <w:uiPriority w:val="1"/>
    <w:rsid w:val="00517B47"/>
    <w:pPr>
      <w:numPr>
        <w:numId w:val="28"/>
      </w:numPr>
      <w:spacing w:before="0" w:after="240"/>
    </w:pPr>
    <w:rPr>
      <w:szCs w:val="20"/>
      <w:lang w:eastAsia="en-IE"/>
    </w:rPr>
  </w:style>
  <w:style w:type="paragraph" w:customStyle="1" w:styleId="ListDash1Level2">
    <w:name w:val="List Dash 1 (Level 2)"/>
    <w:basedOn w:val="Text1"/>
    <w:uiPriority w:val="1"/>
    <w:rsid w:val="00517B47"/>
    <w:pPr>
      <w:numPr>
        <w:ilvl w:val="1"/>
        <w:numId w:val="28"/>
      </w:numPr>
      <w:spacing w:before="0" w:after="240"/>
    </w:pPr>
    <w:rPr>
      <w:szCs w:val="20"/>
      <w:lang w:eastAsia="en-IE"/>
    </w:rPr>
  </w:style>
  <w:style w:type="paragraph" w:customStyle="1" w:styleId="ListDash1Level3">
    <w:name w:val="List Dash 1 (Level 3)"/>
    <w:basedOn w:val="Text1"/>
    <w:uiPriority w:val="1"/>
    <w:semiHidden/>
    <w:unhideWhenUsed/>
    <w:rsid w:val="00517B47"/>
    <w:pPr>
      <w:numPr>
        <w:ilvl w:val="2"/>
        <w:numId w:val="28"/>
      </w:numPr>
      <w:spacing w:before="0" w:after="240"/>
    </w:pPr>
    <w:rPr>
      <w:szCs w:val="20"/>
      <w:lang w:eastAsia="en-IE"/>
    </w:rPr>
  </w:style>
  <w:style w:type="paragraph" w:customStyle="1" w:styleId="ListDash1Level4">
    <w:name w:val="List Dash 1 (Level 4)"/>
    <w:basedOn w:val="Text1"/>
    <w:uiPriority w:val="1"/>
    <w:semiHidden/>
    <w:unhideWhenUsed/>
    <w:rsid w:val="00517B47"/>
    <w:pPr>
      <w:numPr>
        <w:ilvl w:val="3"/>
        <w:numId w:val="28"/>
      </w:numPr>
      <w:spacing w:before="0" w:after="240"/>
    </w:pPr>
    <w:rPr>
      <w:szCs w:val="20"/>
      <w:lang w:eastAsia="en-IE"/>
    </w:rPr>
  </w:style>
  <w:style w:type="paragraph" w:customStyle="1" w:styleId="ListDash2">
    <w:name w:val="List Dash 2"/>
    <w:basedOn w:val="Text2"/>
    <w:uiPriority w:val="1"/>
    <w:rsid w:val="00517B47"/>
    <w:pPr>
      <w:numPr>
        <w:numId w:val="27"/>
      </w:numPr>
      <w:spacing w:before="0" w:after="240"/>
    </w:pPr>
    <w:rPr>
      <w:szCs w:val="20"/>
      <w:lang w:eastAsia="en-IE"/>
    </w:rPr>
  </w:style>
  <w:style w:type="paragraph" w:customStyle="1" w:styleId="ListDash2Level2">
    <w:name w:val="List Dash 2 (Level 2)"/>
    <w:basedOn w:val="Text2"/>
    <w:uiPriority w:val="1"/>
    <w:rsid w:val="00517B47"/>
    <w:pPr>
      <w:numPr>
        <w:ilvl w:val="1"/>
        <w:numId w:val="27"/>
      </w:numPr>
      <w:spacing w:before="0" w:after="240"/>
    </w:pPr>
    <w:rPr>
      <w:szCs w:val="20"/>
      <w:lang w:eastAsia="en-IE"/>
    </w:rPr>
  </w:style>
  <w:style w:type="paragraph" w:customStyle="1" w:styleId="ListDash2Level3">
    <w:name w:val="List Dash 2 (Level 3)"/>
    <w:basedOn w:val="Text2"/>
    <w:uiPriority w:val="1"/>
    <w:semiHidden/>
    <w:unhideWhenUsed/>
    <w:rsid w:val="00517B47"/>
    <w:pPr>
      <w:numPr>
        <w:ilvl w:val="2"/>
        <w:numId w:val="27"/>
      </w:numPr>
      <w:spacing w:before="0" w:after="240"/>
    </w:pPr>
    <w:rPr>
      <w:szCs w:val="20"/>
      <w:lang w:eastAsia="en-IE"/>
    </w:rPr>
  </w:style>
  <w:style w:type="paragraph" w:customStyle="1" w:styleId="ListDash2Level4">
    <w:name w:val="List Dash 2 (Level 4)"/>
    <w:basedOn w:val="Text2"/>
    <w:uiPriority w:val="1"/>
    <w:semiHidden/>
    <w:unhideWhenUsed/>
    <w:rsid w:val="00517B47"/>
    <w:pPr>
      <w:numPr>
        <w:ilvl w:val="3"/>
        <w:numId w:val="27"/>
      </w:numPr>
      <w:spacing w:before="0" w:after="240"/>
    </w:pPr>
    <w:rPr>
      <w:szCs w:val="20"/>
      <w:lang w:eastAsia="en-IE"/>
    </w:rPr>
  </w:style>
  <w:style w:type="paragraph" w:customStyle="1" w:styleId="ListDash3">
    <w:name w:val="List Dash 3"/>
    <w:basedOn w:val="Text3"/>
    <w:uiPriority w:val="1"/>
    <w:rsid w:val="00517B47"/>
    <w:pPr>
      <w:numPr>
        <w:numId w:val="26"/>
      </w:numPr>
      <w:spacing w:before="0" w:after="240"/>
    </w:pPr>
    <w:rPr>
      <w:szCs w:val="20"/>
      <w:lang w:eastAsia="en-IE"/>
    </w:rPr>
  </w:style>
  <w:style w:type="paragraph" w:customStyle="1" w:styleId="ListDash3Level2">
    <w:name w:val="List Dash 3 (Level 2)"/>
    <w:basedOn w:val="Text3"/>
    <w:uiPriority w:val="1"/>
    <w:rsid w:val="00517B47"/>
    <w:pPr>
      <w:numPr>
        <w:ilvl w:val="1"/>
        <w:numId w:val="26"/>
      </w:numPr>
      <w:spacing w:before="0" w:after="240"/>
    </w:pPr>
    <w:rPr>
      <w:szCs w:val="20"/>
      <w:lang w:eastAsia="en-IE"/>
    </w:rPr>
  </w:style>
  <w:style w:type="paragraph" w:customStyle="1" w:styleId="ListDash3Level3">
    <w:name w:val="List Dash 3 (Level 3)"/>
    <w:basedOn w:val="Text3"/>
    <w:uiPriority w:val="1"/>
    <w:semiHidden/>
    <w:unhideWhenUsed/>
    <w:rsid w:val="00517B47"/>
    <w:pPr>
      <w:numPr>
        <w:ilvl w:val="2"/>
        <w:numId w:val="26"/>
      </w:numPr>
      <w:spacing w:before="0" w:after="240"/>
    </w:pPr>
    <w:rPr>
      <w:szCs w:val="20"/>
      <w:lang w:eastAsia="en-IE"/>
    </w:rPr>
  </w:style>
  <w:style w:type="paragraph" w:customStyle="1" w:styleId="ListDash3Level4">
    <w:name w:val="List Dash 3 (Level 4)"/>
    <w:basedOn w:val="Text3"/>
    <w:uiPriority w:val="1"/>
    <w:semiHidden/>
    <w:unhideWhenUsed/>
    <w:rsid w:val="00517B47"/>
    <w:pPr>
      <w:numPr>
        <w:ilvl w:val="3"/>
        <w:numId w:val="26"/>
      </w:numPr>
      <w:spacing w:before="0" w:after="240"/>
    </w:pPr>
    <w:rPr>
      <w:szCs w:val="20"/>
      <w:lang w:eastAsia="en-IE"/>
    </w:rPr>
  </w:style>
  <w:style w:type="paragraph" w:customStyle="1" w:styleId="ListDash4">
    <w:name w:val="List Dash 4"/>
    <w:basedOn w:val="Text4"/>
    <w:uiPriority w:val="1"/>
    <w:rsid w:val="00517B47"/>
    <w:pPr>
      <w:numPr>
        <w:numId w:val="25"/>
      </w:numPr>
      <w:spacing w:before="0" w:after="240"/>
    </w:pPr>
    <w:rPr>
      <w:szCs w:val="20"/>
      <w:lang w:eastAsia="en-IE"/>
    </w:rPr>
  </w:style>
  <w:style w:type="paragraph" w:customStyle="1" w:styleId="ListDash4Level2">
    <w:name w:val="List Dash 4 (Level 2)"/>
    <w:basedOn w:val="Text4"/>
    <w:uiPriority w:val="1"/>
    <w:rsid w:val="00517B47"/>
    <w:pPr>
      <w:numPr>
        <w:ilvl w:val="1"/>
        <w:numId w:val="25"/>
      </w:numPr>
      <w:spacing w:before="0" w:after="240"/>
    </w:pPr>
    <w:rPr>
      <w:szCs w:val="20"/>
      <w:lang w:eastAsia="en-IE"/>
    </w:rPr>
  </w:style>
  <w:style w:type="paragraph" w:customStyle="1" w:styleId="ListDash4Level3">
    <w:name w:val="List Dash 4 (Level 3)"/>
    <w:basedOn w:val="Text4"/>
    <w:uiPriority w:val="1"/>
    <w:semiHidden/>
    <w:unhideWhenUsed/>
    <w:rsid w:val="00517B47"/>
    <w:pPr>
      <w:numPr>
        <w:ilvl w:val="2"/>
        <w:numId w:val="25"/>
      </w:numPr>
      <w:spacing w:before="0" w:after="240"/>
    </w:pPr>
    <w:rPr>
      <w:szCs w:val="20"/>
      <w:lang w:eastAsia="en-IE"/>
    </w:rPr>
  </w:style>
  <w:style w:type="paragraph" w:customStyle="1" w:styleId="ListDash4Level4">
    <w:name w:val="List Dash 4 (Level 4)"/>
    <w:basedOn w:val="Text4"/>
    <w:uiPriority w:val="1"/>
    <w:semiHidden/>
    <w:unhideWhenUsed/>
    <w:rsid w:val="00517B47"/>
    <w:pPr>
      <w:numPr>
        <w:ilvl w:val="3"/>
        <w:numId w:val="25"/>
      </w:numPr>
      <w:spacing w:before="0" w:after="240"/>
    </w:pPr>
    <w:rPr>
      <w:szCs w:val="20"/>
      <w:lang w:eastAsia="en-IE"/>
    </w:rPr>
  </w:style>
  <w:style w:type="paragraph" w:styleId="ListNumber">
    <w:name w:val="List Number"/>
    <w:basedOn w:val="Normal"/>
    <w:uiPriority w:val="1"/>
    <w:rsid w:val="00517B47"/>
    <w:pPr>
      <w:numPr>
        <w:numId w:val="34"/>
      </w:numPr>
      <w:spacing w:before="0" w:after="240"/>
    </w:pPr>
    <w:rPr>
      <w:szCs w:val="20"/>
      <w:lang w:eastAsia="en-IE"/>
    </w:rPr>
  </w:style>
  <w:style w:type="paragraph" w:customStyle="1" w:styleId="ListNumberLevel2">
    <w:name w:val="List Number (Level 2)"/>
    <w:basedOn w:val="Normal"/>
    <w:uiPriority w:val="1"/>
    <w:rsid w:val="00517B47"/>
    <w:pPr>
      <w:numPr>
        <w:ilvl w:val="1"/>
        <w:numId w:val="34"/>
      </w:numPr>
      <w:spacing w:before="0" w:after="240"/>
    </w:pPr>
    <w:rPr>
      <w:szCs w:val="20"/>
      <w:lang w:eastAsia="en-IE"/>
    </w:rPr>
  </w:style>
  <w:style w:type="paragraph" w:customStyle="1" w:styleId="ListNumberLevel3">
    <w:name w:val="List Number (Level 3)"/>
    <w:basedOn w:val="Normal"/>
    <w:uiPriority w:val="1"/>
    <w:semiHidden/>
    <w:unhideWhenUsed/>
    <w:rsid w:val="00517B47"/>
    <w:pPr>
      <w:numPr>
        <w:ilvl w:val="2"/>
        <w:numId w:val="34"/>
      </w:numPr>
      <w:spacing w:before="0" w:after="240"/>
    </w:pPr>
    <w:rPr>
      <w:szCs w:val="20"/>
      <w:lang w:eastAsia="en-IE"/>
    </w:rPr>
  </w:style>
  <w:style w:type="paragraph" w:customStyle="1" w:styleId="ListNumberLevel4">
    <w:name w:val="List Number (Level 4)"/>
    <w:basedOn w:val="Normal"/>
    <w:uiPriority w:val="1"/>
    <w:semiHidden/>
    <w:unhideWhenUsed/>
    <w:rsid w:val="00517B47"/>
    <w:pPr>
      <w:numPr>
        <w:ilvl w:val="3"/>
        <w:numId w:val="34"/>
      </w:numPr>
      <w:spacing w:before="0" w:after="240"/>
    </w:pPr>
    <w:rPr>
      <w:szCs w:val="20"/>
      <w:lang w:eastAsia="en-IE"/>
    </w:rPr>
  </w:style>
  <w:style w:type="paragraph" w:customStyle="1" w:styleId="ListNumber1">
    <w:name w:val="List Number 1"/>
    <w:basedOn w:val="Text1"/>
    <w:uiPriority w:val="1"/>
    <w:rsid w:val="00517B47"/>
    <w:pPr>
      <w:numPr>
        <w:numId w:val="33"/>
      </w:numPr>
      <w:spacing w:before="0" w:after="240"/>
    </w:pPr>
    <w:rPr>
      <w:szCs w:val="20"/>
      <w:lang w:eastAsia="en-IE"/>
    </w:rPr>
  </w:style>
  <w:style w:type="paragraph" w:customStyle="1" w:styleId="ListNumber1Level2">
    <w:name w:val="List Number 1 (Level 2)"/>
    <w:basedOn w:val="Text1"/>
    <w:uiPriority w:val="1"/>
    <w:rsid w:val="00517B47"/>
    <w:pPr>
      <w:numPr>
        <w:ilvl w:val="1"/>
        <w:numId w:val="33"/>
      </w:numPr>
      <w:spacing w:before="0" w:after="240"/>
    </w:pPr>
    <w:rPr>
      <w:szCs w:val="20"/>
      <w:lang w:eastAsia="en-IE"/>
    </w:rPr>
  </w:style>
  <w:style w:type="paragraph" w:customStyle="1" w:styleId="ListNumber1Level3">
    <w:name w:val="List Number 1 (Level 3)"/>
    <w:basedOn w:val="Text1"/>
    <w:uiPriority w:val="1"/>
    <w:semiHidden/>
    <w:unhideWhenUsed/>
    <w:rsid w:val="00517B47"/>
    <w:pPr>
      <w:numPr>
        <w:ilvl w:val="2"/>
        <w:numId w:val="33"/>
      </w:numPr>
      <w:spacing w:before="0" w:after="240"/>
    </w:pPr>
    <w:rPr>
      <w:szCs w:val="20"/>
      <w:lang w:eastAsia="en-IE"/>
    </w:rPr>
  </w:style>
  <w:style w:type="paragraph" w:customStyle="1" w:styleId="ListNumber1Level4">
    <w:name w:val="List Number 1 (Level 4)"/>
    <w:basedOn w:val="Text1"/>
    <w:uiPriority w:val="1"/>
    <w:semiHidden/>
    <w:unhideWhenUsed/>
    <w:rsid w:val="00517B47"/>
    <w:pPr>
      <w:numPr>
        <w:ilvl w:val="3"/>
        <w:numId w:val="33"/>
      </w:numPr>
      <w:spacing w:before="0" w:after="240"/>
    </w:pPr>
    <w:rPr>
      <w:szCs w:val="20"/>
      <w:lang w:eastAsia="en-IE"/>
    </w:rPr>
  </w:style>
  <w:style w:type="paragraph" w:styleId="ListNumber2">
    <w:name w:val="List Number 2"/>
    <w:basedOn w:val="Text2"/>
    <w:uiPriority w:val="1"/>
    <w:rsid w:val="00517B47"/>
    <w:pPr>
      <w:numPr>
        <w:numId w:val="32"/>
      </w:numPr>
      <w:spacing w:before="0" w:after="240"/>
    </w:pPr>
    <w:rPr>
      <w:szCs w:val="20"/>
      <w:lang w:eastAsia="en-IE"/>
    </w:rPr>
  </w:style>
  <w:style w:type="paragraph" w:customStyle="1" w:styleId="ListNumber2Level2">
    <w:name w:val="List Number 2 (Level 2)"/>
    <w:basedOn w:val="Text2"/>
    <w:uiPriority w:val="1"/>
    <w:rsid w:val="00517B47"/>
    <w:pPr>
      <w:numPr>
        <w:ilvl w:val="1"/>
        <w:numId w:val="32"/>
      </w:numPr>
      <w:spacing w:before="0" w:after="240"/>
    </w:pPr>
    <w:rPr>
      <w:szCs w:val="20"/>
      <w:lang w:eastAsia="en-IE"/>
    </w:rPr>
  </w:style>
  <w:style w:type="paragraph" w:customStyle="1" w:styleId="ListNumber2Level3">
    <w:name w:val="List Number 2 (Level 3)"/>
    <w:basedOn w:val="Text2"/>
    <w:uiPriority w:val="1"/>
    <w:semiHidden/>
    <w:unhideWhenUsed/>
    <w:rsid w:val="00517B47"/>
    <w:pPr>
      <w:numPr>
        <w:ilvl w:val="2"/>
        <w:numId w:val="32"/>
      </w:numPr>
      <w:spacing w:before="0" w:after="240"/>
    </w:pPr>
    <w:rPr>
      <w:szCs w:val="20"/>
      <w:lang w:eastAsia="en-IE"/>
    </w:rPr>
  </w:style>
  <w:style w:type="paragraph" w:customStyle="1" w:styleId="ListNumber2Level4">
    <w:name w:val="List Number 2 (Level 4)"/>
    <w:basedOn w:val="Text2"/>
    <w:uiPriority w:val="1"/>
    <w:semiHidden/>
    <w:unhideWhenUsed/>
    <w:rsid w:val="00517B47"/>
    <w:pPr>
      <w:numPr>
        <w:ilvl w:val="3"/>
        <w:numId w:val="32"/>
      </w:numPr>
      <w:spacing w:before="0" w:after="240"/>
    </w:pPr>
    <w:rPr>
      <w:szCs w:val="20"/>
      <w:lang w:eastAsia="en-IE"/>
    </w:rPr>
  </w:style>
  <w:style w:type="paragraph" w:styleId="ListNumber3">
    <w:name w:val="List Number 3"/>
    <w:basedOn w:val="Text3"/>
    <w:uiPriority w:val="1"/>
    <w:rsid w:val="00517B47"/>
    <w:pPr>
      <w:numPr>
        <w:numId w:val="31"/>
      </w:numPr>
      <w:spacing w:before="0" w:after="240"/>
    </w:pPr>
    <w:rPr>
      <w:szCs w:val="20"/>
      <w:lang w:eastAsia="en-IE"/>
    </w:rPr>
  </w:style>
  <w:style w:type="paragraph" w:customStyle="1" w:styleId="ListNumber3Level2">
    <w:name w:val="List Number 3 (Level 2)"/>
    <w:basedOn w:val="Text3"/>
    <w:uiPriority w:val="1"/>
    <w:rsid w:val="00517B47"/>
    <w:pPr>
      <w:numPr>
        <w:ilvl w:val="1"/>
        <w:numId w:val="31"/>
      </w:numPr>
      <w:spacing w:before="0" w:after="240"/>
    </w:pPr>
    <w:rPr>
      <w:szCs w:val="20"/>
      <w:lang w:eastAsia="en-IE"/>
    </w:rPr>
  </w:style>
  <w:style w:type="paragraph" w:customStyle="1" w:styleId="ListNumber3Level3">
    <w:name w:val="List Number 3 (Level 3)"/>
    <w:basedOn w:val="Text3"/>
    <w:uiPriority w:val="1"/>
    <w:semiHidden/>
    <w:unhideWhenUsed/>
    <w:rsid w:val="00517B47"/>
    <w:pPr>
      <w:numPr>
        <w:ilvl w:val="2"/>
        <w:numId w:val="31"/>
      </w:numPr>
      <w:spacing w:before="0" w:after="240"/>
    </w:pPr>
    <w:rPr>
      <w:szCs w:val="20"/>
      <w:lang w:eastAsia="en-IE"/>
    </w:rPr>
  </w:style>
  <w:style w:type="paragraph" w:customStyle="1" w:styleId="ListNumber3Level4">
    <w:name w:val="List Number 3 (Level 4)"/>
    <w:basedOn w:val="Text3"/>
    <w:uiPriority w:val="1"/>
    <w:semiHidden/>
    <w:unhideWhenUsed/>
    <w:rsid w:val="00517B47"/>
    <w:pPr>
      <w:numPr>
        <w:ilvl w:val="3"/>
        <w:numId w:val="31"/>
      </w:numPr>
      <w:spacing w:before="0" w:after="240"/>
    </w:pPr>
    <w:rPr>
      <w:szCs w:val="20"/>
      <w:lang w:eastAsia="en-IE"/>
    </w:rPr>
  </w:style>
  <w:style w:type="paragraph" w:styleId="ListNumber4">
    <w:name w:val="List Number 4"/>
    <w:basedOn w:val="Text4"/>
    <w:uiPriority w:val="1"/>
    <w:rsid w:val="00517B47"/>
    <w:pPr>
      <w:numPr>
        <w:numId w:val="30"/>
      </w:numPr>
      <w:spacing w:before="0" w:after="240"/>
    </w:pPr>
    <w:rPr>
      <w:szCs w:val="20"/>
      <w:lang w:eastAsia="en-IE"/>
    </w:rPr>
  </w:style>
  <w:style w:type="paragraph" w:customStyle="1" w:styleId="ListNumber4Level2">
    <w:name w:val="List Number 4 (Level 2)"/>
    <w:basedOn w:val="Text4"/>
    <w:uiPriority w:val="1"/>
    <w:rsid w:val="00517B47"/>
    <w:pPr>
      <w:numPr>
        <w:ilvl w:val="1"/>
        <w:numId w:val="30"/>
      </w:numPr>
      <w:spacing w:before="0" w:after="240"/>
    </w:pPr>
    <w:rPr>
      <w:szCs w:val="20"/>
      <w:lang w:eastAsia="en-IE"/>
    </w:rPr>
  </w:style>
  <w:style w:type="paragraph" w:customStyle="1" w:styleId="ListNumber4Level3">
    <w:name w:val="List Number 4 (Level 3)"/>
    <w:basedOn w:val="Text4"/>
    <w:uiPriority w:val="1"/>
    <w:semiHidden/>
    <w:unhideWhenUsed/>
    <w:rsid w:val="00517B47"/>
    <w:pPr>
      <w:numPr>
        <w:ilvl w:val="2"/>
        <w:numId w:val="30"/>
      </w:numPr>
      <w:spacing w:before="0" w:after="240"/>
    </w:pPr>
    <w:rPr>
      <w:szCs w:val="20"/>
      <w:lang w:eastAsia="en-IE"/>
    </w:rPr>
  </w:style>
  <w:style w:type="paragraph" w:customStyle="1" w:styleId="ListNumber4Level4">
    <w:name w:val="List Number 4 (Level 4)"/>
    <w:basedOn w:val="Text4"/>
    <w:uiPriority w:val="1"/>
    <w:semiHidden/>
    <w:unhideWhenUsed/>
    <w:rsid w:val="00517B47"/>
    <w:pPr>
      <w:numPr>
        <w:ilvl w:val="3"/>
        <w:numId w:val="30"/>
      </w:numPr>
      <w:spacing w:before="0" w:after="240"/>
    </w:pPr>
    <w:rPr>
      <w:szCs w:val="20"/>
      <w:lang w:eastAsia="en-IE"/>
    </w:rPr>
  </w:style>
  <w:style w:type="paragraph" w:styleId="MacroText">
    <w:name w:val="macro"/>
    <w:basedOn w:val="Normal"/>
    <w:link w:val="MacroTextChar"/>
    <w:uiPriority w:val="1"/>
    <w:qFormat/>
    <w:rsid w:val="00517B47"/>
    <w:pPr>
      <w:tabs>
        <w:tab w:val="left" w:pos="482"/>
        <w:tab w:val="left" w:pos="958"/>
        <w:tab w:val="left" w:pos="1440"/>
        <w:tab w:val="left" w:pos="1922"/>
        <w:tab w:val="left" w:pos="2398"/>
        <w:tab w:val="left" w:pos="2880"/>
        <w:tab w:val="left" w:pos="3362"/>
        <w:tab w:val="left" w:pos="3838"/>
        <w:tab w:val="left" w:pos="4320"/>
      </w:tabs>
      <w:spacing w:before="0" w:after="240"/>
    </w:pPr>
    <w:rPr>
      <w:rFonts w:ascii="Courier New" w:hAnsi="Courier New"/>
      <w:sz w:val="22"/>
      <w:szCs w:val="20"/>
      <w:lang w:eastAsia="en-IE"/>
    </w:rPr>
  </w:style>
  <w:style w:type="character" w:customStyle="1" w:styleId="MacroTextChar">
    <w:name w:val="Macro Text Char"/>
    <w:basedOn w:val="DefaultParagraphFont"/>
    <w:link w:val="MacroText"/>
    <w:uiPriority w:val="1"/>
    <w:rsid w:val="00517B47"/>
    <w:rPr>
      <w:rFonts w:ascii="Courier New" w:hAnsi="Courier New"/>
      <w:sz w:val="22"/>
      <w:lang w:eastAsia="en-IE"/>
    </w:rPr>
  </w:style>
  <w:style w:type="paragraph" w:customStyle="1" w:styleId="Marking">
    <w:name w:val="Marking"/>
    <w:basedOn w:val="Normal"/>
    <w:semiHidden/>
    <w:rsid w:val="00517B47"/>
    <w:pPr>
      <w:spacing w:before="0" w:after="240"/>
      <w:ind w:left="5102" w:right="-567"/>
      <w:contextualSpacing/>
      <w:jc w:val="left"/>
    </w:pPr>
    <w:rPr>
      <w:sz w:val="28"/>
      <w:szCs w:val="20"/>
      <w:lang w:eastAsia="en-IE"/>
    </w:rPr>
  </w:style>
  <w:style w:type="paragraph" w:customStyle="1" w:styleId="References">
    <w:name w:val="References"/>
    <w:basedOn w:val="Normal"/>
    <w:uiPriority w:val="1"/>
    <w:rsid w:val="00517B47"/>
    <w:pPr>
      <w:spacing w:before="0" w:after="240"/>
      <w:ind w:left="5102" w:right="-567"/>
      <w:contextualSpacing/>
      <w:jc w:val="left"/>
    </w:pPr>
    <w:rPr>
      <w:sz w:val="20"/>
      <w:szCs w:val="20"/>
      <w:lang w:eastAsia="en-IE"/>
    </w:rPr>
  </w:style>
  <w:style w:type="paragraph" w:customStyle="1" w:styleId="Releasable">
    <w:name w:val="Releasable"/>
    <w:basedOn w:val="Normal"/>
    <w:semiHidden/>
    <w:rsid w:val="00517B47"/>
    <w:pPr>
      <w:spacing w:before="0" w:after="0"/>
      <w:jc w:val="center"/>
    </w:pPr>
    <w:rPr>
      <w:b/>
      <w:caps/>
      <w:sz w:val="32"/>
      <w:szCs w:val="20"/>
      <w:lang w:eastAsia="en-IE"/>
    </w:rPr>
  </w:style>
  <w:style w:type="paragraph" w:customStyle="1" w:styleId="RUE">
    <w:name w:val="RUE"/>
    <w:basedOn w:val="Normal"/>
    <w:semiHidden/>
    <w:rsid w:val="00517B47"/>
    <w:pPr>
      <w:spacing w:before="0" w:after="0"/>
      <w:jc w:val="center"/>
    </w:pPr>
    <w:rPr>
      <w:b/>
      <w:caps/>
      <w:sz w:val="32"/>
      <w:szCs w:val="20"/>
      <w:bdr w:val="single" w:sz="18" w:space="0" w:color="auto"/>
      <w:lang w:eastAsia="en-IE"/>
    </w:rPr>
  </w:style>
  <w:style w:type="paragraph" w:customStyle="1" w:styleId="SecretUE">
    <w:name w:val="Secret UE"/>
    <w:basedOn w:val="Normal"/>
    <w:semiHidden/>
    <w:rsid w:val="00517B47"/>
    <w:pPr>
      <w:spacing w:before="0" w:after="0"/>
      <w:jc w:val="center"/>
    </w:pPr>
    <w:rPr>
      <w:b/>
      <w:caps/>
      <w:color w:val="FF0000"/>
      <w:sz w:val="32"/>
      <w:szCs w:val="20"/>
      <w:bdr w:val="single" w:sz="18" w:space="0" w:color="FF0000"/>
      <w:lang w:eastAsia="en-IE"/>
    </w:rPr>
  </w:style>
  <w:style w:type="paragraph" w:styleId="Signature">
    <w:name w:val="Signature"/>
    <w:basedOn w:val="Normal"/>
    <w:link w:val="SignatureChar"/>
    <w:uiPriority w:val="2"/>
    <w:rsid w:val="00517B47"/>
    <w:pPr>
      <w:spacing w:before="1200" w:after="0"/>
      <w:ind w:left="5102"/>
      <w:jc w:val="center"/>
    </w:pPr>
    <w:rPr>
      <w:szCs w:val="20"/>
      <w:lang w:eastAsia="en-IE"/>
    </w:rPr>
  </w:style>
  <w:style w:type="character" w:customStyle="1" w:styleId="SignatureChar">
    <w:name w:val="Signature Char"/>
    <w:basedOn w:val="DefaultParagraphFont"/>
    <w:link w:val="Signature"/>
    <w:uiPriority w:val="2"/>
    <w:rsid w:val="00517B47"/>
    <w:rPr>
      <w:sz w:val="24"/>
      <w:lang w:eastAsia="en-IE"/>
    </w:rPr>
  </w:style>
  <w:style w:type="paragraph" w:customStyle="1" w:styleId="SignatureL">
    <w:name w:val="SignatureL"/>
    <w:basedOn w:val="Normal"/>
    <w:uiPriority w:val="2"/>
    <w:rsid w:val="00517B47"/>
    <w:pPr>
      <w:spacing w:before="1200" w:after="0"/>
      <w:jc w:val="left"/>
    </w:pPr>
    <w:rPr>
      <w:szCs w:val="20"/>
      <w:lang w:eastAsia="en-IE"/>
    </w:rPr>
  </w:style>
  <w:style w:type="paragraph" w:customStyle="1" w:styleId="SubTitle1">
    <w:name w:val="SubTitle 1"/>
    <w:basedOn w:val="Normal"/>
    <w:next w:val="SubTitle2"/>
    <w:uiPriority w:val="1"/>
    <w:qFormat/>
    <w:rsid w:val="00517B47"/>
    <w:pPr>
      <w:spacing w:before="0" w:after="240"/>
      <w:jc w:val="center"/>
    </w:pPr>
    <w:rPr>
      <w:b/>
      <w:sz w:val="40"/>
      <w:szCs w:val="20"/>
      <w:lang w:eastAsia="en-IE"/>
    </w:rPr>
  </w:style>
  <w:style w:type="paragraph" w:customStyle="1" w:styleId="SubTitle2">
    <w:name w:val="SubTitle 2"/>
    <w:basedOn w:val="Normal"/>
    <w:uiPriority w:val="1"/>
    <w:qFormat/>
    <w:rsid w:val="00517B47"/>
    <w:pPr>
      <w:spacing w:before="0" w:after="240"/>
      <w:jc w:val="center"/>
    </w:pPr>
    <w:rPr>
      <w:b/>
      <w:sz w:val="32"/>
      <w:szCs w:val="20"/>
      <w:lang w:eastAsia="en-IE"/>
    </w:rPr>
  </w:style>
  <w:style w:type="paragraph" w:customStyle="1" w:styleId="TableListBullet">
    <w:name w:val="Table List Bullet"/>
    <w:basedOn w:val="TableText"/>
    <w:uiPriority w:val="1"/>
    <w:rsid w:val="00517B47"/>
    <w:pPr>
      <w:numPr>
        <w:numId w:val="44"/>
      </w:numPr>
    </w:pPr>
  </w:style>
  <w:style w:type="paragraph" w:customStyle="1" w:styleId="TableListBulletLevel2">
    <w:name w:val="Table List Bullet (Level 2)"/>
    <w:basedOn w:val="TableText"/>
    <w:uiPriority w:val="1"/>
    <w:rsid w:val="00517B47"/>
    <w:pPr>
      <w:numPr>
        <w:ilvl w:val="1"/>
        <w:numId w:val="44"/>
      </w:numPr>
    </w:pPr>
  </w:style>
  <w:style w:type="paragraph" w:customStyle="1" w:styleId="TableListBulletLevel3">
    <w:name w:val="Table List Bullet (Level 3)"/>
    <w:basedOn w:val="TableText"/>
    <w:uiPriority w:val="1"/>
    <w:semiHidden/>
    <w:unhideWhenUsed/>
    <w:rsid w:val="00517B47"/>
    <w:pPr>
      <w:numPr>
        <w:ilvl w:val="2"/>
        <w:numId w:val="44"/>
      </w:numPr>
    </w:pPr>
  </w:style>
  <w:style w:type="paragraph" w:customStyle="1" w:styleId="TableListBulletLevel4">
    <w:name w:val="Table List Bullet (Level 4)"/>
    <w:basedOn w:val="TableText"/>
    <w:uiPriority w:val="1"/>
    <w:semiHidden/>
    <w:unhideWhenUsed/>
    <w:rsid w:val="00517B47"/>
    <w:pPr>
      <w:numPr>
        <w:ilvl w:val="3"/>
        <w:numId w:val="44"/>
      </w:numPr>
    </w:pPr>
  </w:style>
  <w:style w:type="paragraph" w:customStyle="1" w:styleId="TableListDash">
    <w:name w:val="Table List Dash"/>
    <w:basedOn w:val="TableText"/>
    <w:uiPriority w:val="1"/>
    <w:rsid w:val="00517B47"/>
    <w:pPr>
      <w:numPr>
        <w:numId w:val="45"/>
      </w:numPr>
    </w:pPr>
  </w:style>
  <w:style w:type="paragraph" w:customStyle="1" w:styleId="TableListDashLevel2">
    <w:name w:val="Table List Dash (Level 2)"/>
    <w:basedOn w:val="TableText"/>
    <w:uiPriority w:val="1"/>
    <w:rsid w:val="00517B47"/>
    <w:pPr>
      <w:numPr>
        <w:ilvl w:val="1"/>
        <w:numId w:val="45"/>
      </w:numPr>
    </w:pPr>
  </w:style>
  <w:style w:type="paragraph" w:customStyle="1" w:styleId="TableListDashLevel3">
    <w:name w:val="Table List Dash (Level 3)"/>
    <w:basedOn w:val="TableText"/>
    <w:uiPriority w:val="1"/>
    <w:semiHidden/>
    <w:unhideWhenUsed/>
    <w:rsid w:val="00517B47"/>
    <w:pPr>
      <w:numPr>
        <w:ilvl w:val="2"/>
        <w:numId w:val="45"/>
      </w:numPr>
    </w:pPr>
  </w:style>
  <w:style w:type="paragraph" w:customStyle="1" w:styleId="TableListDashLevel4">
    <w:name w:val="Table List Dash (Level 4)"/>
    <w:basedOn w:val="TableText"/>
    <w:uiPriority w:val="1"/>
    <w:semiHidden/>
    <w:unhideWhenUsed/>
    <w:rsid w:val="00517B47"/>
    <w:pPr>
      <w:numPr>
        <w:ilvl w:val="3"/>
        <w:numId w:val="45"/>
      </w:numPr>
    </w:pPr>
  </w:style>
  <w:style w:type="paragraph" w:customStyle="1" w:styleId="TableListNumber">
    <w:name w:val="Table List Number"/>
    <w:basedOn w:val="TableText"/>
    <w:uiPriority w:val="1"/>
    <w:rsid w:val="00517B47"/>
    <w:pPr>
      <w:numPr>
        <w:numId w:val="46"/>
      </w:numPr>
    </w:pPr>
  </w:style>
  <w:style w:type="paragraph" w:customStyle="1" w:styleId="TableListNumberLevel2">
    <w:name w:val="Table List Number (Level 2)"/>
    <w:basedOn w:val="TableText"/>
    <w:uiPriority w:val="1"/>
    <w:rsid w:val="00517B47"/>
    <w:pPr>
      <w:numPr>
        <w:ilvl w:val="1"/>
        <w:numId w:val="46"/>
      </w:numPr>
    </w:pPr>
  </w:style>
  <w:style w:type="paragraph" w:customStyle="1" w:styleId="TableListNumberLevel3">
    <w:name w:val="Table List Number (Level 3)"/>
    <w:basedOn w:val="TableText"/>
    <w:uiPriority w:val="1"/>
    <w:semiHidden/>
    <w:unhideWhenUsed/>
    <w:rsid w:val="00517B47"/>
    <w:pPr>
      <w:numPr>
        <w:ilvl w:val="2"/>
        <w:numId w:val="46"/>
      </w:numPr>
    </w:pPr>
  </w:style>
  <w:style w:type="paragraph" w:customStyle="1" w:styleId="TableListNumberLevel4">
    <w:name w:val="Table List Number (Level 4)"/>
    <w:basedOn w:val="TableText"/>
    <w:uiPriority w:val="1"/>
    <w:semiHidden/>
    <w:unhideWhenUsed/>
    <w:rsid w:val="00517B47"/>
    <w:pPr>
      <w:numPr>
        <w:ilvl w:val="3"/>
        <w:numId w:val="46"/>
      </w:numPr>
    </w:pPr>
  </w:style>
  <w:style w:type="paragraph" w:customStyle="1" w:styleId="TableSource">
    <w:name w:val="Table Source"/>
    <w:basedOn w:val="Normal"/>
    <w:next w:val="Normal"/>
    <w:semiHidden/>
    <w:unhideWhenUsed/>
    <w:rsid w:val="00517B47"/>
    <w:pPr>
      <w:spacing w:before="0" w:after="240"/>
    </w:pPr>
    <w:rPr>
      <w:sz w:val="20"/>
      <w:szCs w:val="20"/>
      <w:lang w:eastAsia="en-IE"/>
    </w:rPr>
  </w:style>
  <w:style w:type="paragraph" w:customStyle="1" w:styleId="TableSource1">
    <w:name w:val="Table Source 1"/>
    <w:basedOn w:val="Text1"/>
    <w:next w:val="Text1"/>
    <w:semiHidden/>
    <w:unhideWhenUsed/>
    <w:rsid w:val="00517B47"/>
    <w:pPr>
      <w:spacing w:before="0" w:after="240"/>
      <w:ind w:left="482"/>
    </w:pPr>
    <w:rPr>
      <w:sz w:val="20"/>
      <w:szCs w:val="20"/>
      <w:lang w:eastAsia="en-IE"/>
    </w:rPr>
  </w:style>
  <w:style w:type="paragraph" w:customStyle="1" w:styleId="TableSource2">
    <w:name w:val="Table Source 2"/>
    <w:basedOn w:val="Text2"/>
    <w:next w:val="Text2"/>
    <w:semiHidden/>
    <w:unhideWhenUsed/>
    <w:rsid w:val="00517B47"/>
    <w:pPr>
      <w:spacing w:before="0" w:after="240"/>
      <w:ind w:left="1202"/>
    </w:pPr>
    <w:rPr>
      <w:sz w:val="20"/>
      <w:szCs w:val="20"/>
      <w:lang w:eastAsia="en-IE"/>
    </w:rPr>
  </w:style>
  <w:style w:type="paragraph" w:customStyle="1" w:styleId="TableSource3">
    <w:name w:val="Table Source 3"/>
    <w:basedOn w:val="Text3"/>
    <w:next w:val="Text3"/>
    <w:semiHidden/>
    <w:unhideWhenUsed/>
    <w:rsid w:val="00517B47"/>
    <w:pPr>
      <w:spacing w:before="0" w:after="240"/>
      <w:ind w:left="1202"/>
    </w:pPr>
    <w:rPr>
      <w:sz w:val="20"/>
      <w:szCs w:val="20"/>
      <w:lang w:eastAsia="en-IE"/>
    </w:rPr>
  </w:style>
  <w:style w:type="paragraph" w:customStyle="1" w:styleId="TableSource4">
    <w:name w:val="Table Source 4"/>
    <w:basedOn w:val="Text4"/>
    <w:next w:val="Text4"/>
    <w:semiHidden/>
    <w:unhideWhenUsed/>
    <w:rsid w:val="00517B47"/>
    <w:pPr>
      <w:spacing w:before="0" w:after="240"/>
      <w:ind w:left="1202"/>
    </w:pPr>
    <w:rPr>
      <w:sz w:val="20"/>
      <w:szCs w:val="20"/>
      <w:lang w:eastAsia="en-IE"/>
    </w:rPr>
  </w:style>
  <w:style w:type="paragraph" w:customStyle="1" w:styleId="TableText">
    <w:name w:val="Table Text"/>
    <w:basedOn w:val="Normal"/>
    <w:uiPriority w:val="1"/>
    <w:qFormat/>
    <w:rsid w:val="00517B47"/>
    <w:pPr>
      <w:spacing w:before="60" w:after="60"/>
      <w:jc w:val="left"/>
    </w:pPr>
    <w:rPr>
      <w:szCs w:val="20"/>
      <w:lang w:eastAsia="en-IE"/>
    </w:rPr>
  </w:style>
  <w:style w:type="paragraph" w:customStyle="1" w:styleId="TableTitle1">
    <w:name w:val="Table Title 1"/>
    <w:basedOn w:val="Text1"/>
    <w:uiPriority w:val="1"/>
    <w:semiHidden/>
    <w:unhideWhenUsed/>
    <w:rsid w:val="00517B47"/>
    <w:pPr>
      <w:keepNext/>
      <w:spacing w:before="0"/>
      <w:ind w:left="482"/>
    </w:pPr>
    <w:rPr>
      <w:b/>
      <w:i/>
      <w:szCs w:val="20"/>
      <w:lang w:eastAsia="en-IE"/>
    </w:rPr>
  </w:style>
  <w:style w:type="paragraph" w:customStyle="1" w:styleId="TableTitle2">
    <w:name w:val="Table Title 2"/>
    <w:basedOn w:val="Text2"/>
    <w:uiPriority w:val="1"/>
    <w:semiHidden/>
    <w:unhideWhenUsed/>
    <w:rsid w:val="00517B47"/>
    <w:pPr>
      <w:keepNext/>
      <w:spacing w:before="0"/>
      <w:ind w:left="1202"/>
    </w:pPr>
    <w:rPr>
      <w:b/>
      <w:i/>
      <w:szCs w:val="20"/>
      <w:lang w:eastAsia="en-IE"/>
    </w:rPr>
  </w:style>
  <w:style w:type="paragraph" w:customStyle="1" w:styleId="TableTitle3">
    <w:name w:val="Table Title 3"/>
    <w:basedOn w:val="Text3"/>
    <w:uiPriority w:val="1"/>
    <w:semiHidden/>
    <w:unhideWhenUsed/>
    <w:rsid w:val="00517B47"/>
    <w:pPr>
      <w:keepNext/>
      <w:spacing w:before="0"/>
      <w:ind w:left="1202"/>
    </w:pPr>
    <w:rPr>
      <w:b/>
      <w:i/>
      <w:szCs w:val="20"/>
      <w:lang w:eastAsia="en-IE"/>
    </w:rPr>
  </w:style>
  <w:style w:type="paragraph" w:customStyle="1" w:styleId="TableTitle4">
    <w:name w:val="Table Title 4"/>
    <w:basedOn w:val="Text4"/>
    <w:uiPriority w:val="1"/>
    <w:semiHidden/>
    <w:unhideWhenUsed/>
    <w:rsid w:val="00517B47"/>
    <w:pPr>
      <w:keepNext/>
      <w:spacing w:before="0"/>
      <w:ind w:left="1202"/>
    </w:pPr>
    <w:rPr>
      <w:b/>
      <w:i/>
      <w:szCs w:val="20"/>
      <w:lang w:eastAsia="en-IE"/>
    </w:rPr>
  </w:style>
  <w:style w:type="paragraph" w:styleId="Title">
    <w:name w:val="Title"/>
    <w:basedOn w:val="Normal"/>
    <w:next w:val="SubTitle1"/>
    <w:link w:val="TitleChar"/>
    <w:uiPriority w:val="1"/>
    <w:qFormat/>
    <w:rsid w:val="00517B47"/>
    <w:pPr>
      <w:spacing w:before="0" w:after="480"/>
      <w:jc w:val="center"/>
    </w:pPr>
    <w:rPr>
      <w:b/>
      <w:kern w:val="28"/>
      <w:sz w:val="48"/>
      <w:szCs w:val="20"/>
      <w:lang w:eastAsia="en-IE"/>
    </w:rPr>
  </w:style>
  <w:style w:type="character" w:customStyle="1" w:styleId="TitleChar">
    <w:name w:val="Title Char"/>
    <w:basedOn w:val="DefaultParagraphFont"/>
    <w:link w:val="Title"/>
    <w:uiPriority w:val="1"/>
    <w:rsid w:val="00517B47"/>
    <w:rPr>
      <w:b/>
      <w:kern w:val="28"/>
      <w:sz w:val="48"/>
      <w:lang w:eastAsia="en-IE"/>
    </w:rPr>
  </w:style>
  <w:style w:type="paragraph" w:customStyle="1" w:styleId="TrsSecretUE">
    <w:name w:val="Très Secret UE"/>
    <w:basedOn w:val="Normal"/>
    <w:semiHidden/>
    <w:rsid w:val="00517B47"/>
    <w:pPr>
      <w:spacing w:before="0" w:after="0"/>
      <w:jc w:val="center"/>
    </w:pPr>
    <w:rPr>
      <w:b/>
      <w:caps/>
      <w:color w:val="FF0000"/>
      <w:sz w:val="32"/>
      <w:szCs w:val="20"/>
      <w:bdr w:val="single" w:sz="18" w:space="0" w:color="FF0000"/>
      <w:lang w:eastAsia="en-IE"/>
    </w:rPr>
  </w:style>
  <w:style w:type="paragraph" w:customStyle="1" w:styleId="ZCom">
    <w:name w:val="Z_Com"/>
    <w:basedOn w:val="Normal"/>
    <w:next w:val="Normal"/>
    <w:uiPriority w:val="2"/>
    <w:rsid w:val="00517B47"/>
    <w:pPr>
      <w:widowControl w:val="0"/>
      <w:spacing w:before="90" w:after="0"/>
      <w:ind w:right="85"/>
      <w:jc w:val="left"/>
    </w:pPr>
    <w:rPr>
      <w:szCs w:val="20"/>
      <w:lang w:eastAsia="en-IE"/>
    </w:rPr>
  </w:style>
  <w:style w:type="paragraph" w:customStyle="1" w:styleId="ZDGName">
    <w:name w:val="Z_DGName"/>
    <w:basedOn w:val="Normal"/>
    <w:uiPriority w:val="2"/>
    <w:rsid w:val="00517B47"/>
    <w:pPr>
      <w:widowControl w:val="0"/>
      <w:spacing w:before="0" w:after="0"/>
      <w:ind w:right="85"/>
      <w:jc w:val="left"/>
    </w:pPr>
    <w:rPr>
      <w:sz w:val="16"/>
      <w:szCs w:val="20"/>
      <w:lang w:eastAsia="en-IE"/>
    </w:rPr>
  </w:style>
  <w:style w:type="paragraph" w:customStyle="1" w:styleId="ZFlag">
    <w:name w:val="Z_Flag"/>
    <w:basedOn w:val="Normal"/>
    <w:next w:val="Normal"/>
    <w:uiPriority w:val="2"/>
    <w:rsid w:val="00517B47"/>
    <w:pPr>
      <w:widowControl w:val="0"/>
      <w:spacing w:before="0" w:after="0"/>
      <w:ind w:right="85"/>
    </w:pPr>
    <w:rPr>
      <w:szCs w:val="20"/>
      <w:lang w:eastAsia="en-IE"/>
    </w:rPr>
  </w:style>
  <w:style w:type="character" w:customStyle="1" w:styleId="HeaderChar">
    <w:name w:val="Header Char"/>
    <w:basedOn w:val="DefaultParagraphFont"/>
    <w:link w:val="Header"/>
    <w:uiPriority w:val="2"/>
    <w:rsid w:val="00517B47"/>
    <w:rPr>
      <w:sz w:val="24"/>
      <w:szCs w:val="24"/>
      <w:lang w:eastAsia="en-US"/>
    </w:rPr>
  </w:style>
  <w:style w:type="table" w:customStyle="1" w:styleId="EurolookClassicBlue">
    <w:name w:val="Eurolook Classic Blu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517B47"/>
    <w:rPr>
      <w:sz w:val="24"/>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517B47"/>
    <w:tblPr>
      <w:tblInd w:w="482" w:type="dxa"/>
    </w:tblPr>
    <w:tblStylePr w:type="firstRow">
      <w:rPr>
        <w:b/>
      </w:rPr>
    </w:tblStylePr>
  </w:style>
  <w:style w:type="table" w:customStyle="1" w:styleId="EurolookTable2">
    <w:name w:val="Eurolook Table 2"/>
    <w:basedOn w:val="EurolookTable"/>
    <w:semiHidden/>
    <w:unhideWhenUsed/>
    <w:rsid w:val="00517B47"/>
    <w:tblPr>
      <w:tblInd w:w="1202" w:type="dxa"/>
    </w:tblPr>
    <w:tblStylePr w:type="firstRow">
      <w:rPr>
        <w:b/>
      </w:rPr>
    </w:tblStylePr>
  </w:style>
  <w:style w:type="table" w:customStyle="1" w:styleId="EurolookTable3">
    <w:name w:val="Eurolook Table 3"/>
    <w:basedOn w:val="EurolookTable"/>
    <w:semiHidden/>
    <w:unhideWhenUsed/>
    <w:rsid w:val="00517B47"/>
    <w:tblPr>
      <w:tblInd w:w="1202" w:type="dxa"/>
    </w:tblPr>
    <w:tblStylePr w:type="firstRow">
      <w:rPr>
        <w:b/>
      </w:rPr>
    </w:tblStylePr>
  </w:style>
  <w:style w:type="table" w:customStyle="1" w:styleId="EurolookTable4">
    <w:name w:val="Eurolook Table 4"/>
    <w:basedOn w:val="EurolookTable"/>
    <w:semiHidden/>
    <w:unhideWhenUsed/>
    <w:rsid w:val="00517B47"/>
    <w:tblPr>
      <w:tblInd w:w="1202" w:type="dxa"/>
    </w:tblPr>
    <w:tblStylePr w:type="firstRow">
      <w:rPr>
        <w:b/>
      </w:rPr>
    </w:tblStylePr>
  </w:style>
  <w:style w:type="table" w:customStyle="1" w:styleId="HelperTableBase">
    <w:name w:val="Helper Table Base"/>
    <w:semiHidden/>
    <w:rsid w:val="00517B47"/>
    <w:rPr>
      <w:sz w:val="24"/>
      <w:lang w:eastAsia="en-I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17B47"/>
    <w:tblPr>
      <w:tblCellMar>
        <w:left w:w="567" w:type="dxa"/>
      </w:tblCellMar>
    </w:tblPr>
  </w:style>
  <w:style w:type="table" w:styleId="TableGrid">
    <w:name w:val="Table Grid"/>
    <w:rsid w:val="00517B47"/>
    <w:rPr>
      <w:sz w:val="24"/>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17B47"/>
    <w:pPr>
      <w:spacing w:before="60" w:after="60" w:line="264" w:lineRule="auto"/>
    </w:pPr>
    <w:rPr>
      <w:sz w:val="22"/>
      <w:lang w:eastAsia="en-I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17B47"/>
    <w:rPr>
      <w:sz w:val="24"/>
      <w:lang w:eastAsia="en-IE"/>
    </w:rPr>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70473B"/>
    <w:rPr>
      <w:color w:val="605E5C"/>
      <w:shd w:val="clear" w:color="auto" w:fill="E1DFDD"/>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rsid w:val="001F6885"/>
    <w:pPr>
      <w:spacing w:after="160" w:line="240" w:lineRule="exact"/>
    </w:pPr>
    <w:rPr>
      <w:sz w:val="20"/>
      <w:szCs w:val="20"/>
      <w:vertAlign w:val="superscript"/>
      <w:lang w:eastAsia="en-GB"/>
    </w:rPr>
  </w:style>
  <w:style w:type="character" w:customStyle="1" w:styleId="Mention">
    <w:name w:val="Mention"/>
    <w:basedOn w:val="DefaultParagraphFont"/>
    <w:uiPriority w:val="99"/>
    <w:unhideWhenUsed/>
    <w:rsid w:val="00A2049F"/>
    <w:rPr>
      <w:color w:val="2B579A"/>
      <w:shd w:val="clear" w:color="auto" w:fill="E1DFDD"/>
    </w:rPr>
  </w:style>
  <w:style w:type="paragraph" w:styleId="NormalWeb">
    <w:name w:val="Normal (Web)"/>
    <w:basedOn w:val="Normal"/>
    <w:uiPriority w:val="99"/>
    <w:unhideWhenUsed/>
    <w:rsid w:val="0041144F"/>
    <w:pPr>
      <w:spacing w:before="100" w:beforeAutospacing="1" w:after="100" w:afterAutospacing="1"/>
      <w:jc w:val="left"/>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4773">
      <w:bodyDiv w:val="1"/>
      <w:marLeft w:val="0"/>
      <w:marRight w:val="0"/>
      <w:marTop w:val="0"/>
      <w:marBottom w:val="0"/>
      <w:divBdr>
        <w:top w:val="none" w:sz="0" w:space="0" w:color="auto"/>
        <w:left w:val="none" w:sz="0" w:space="0" w:color="auto"/>
        <w:bottom w:val="none" w:sz="0" w:space="0" w:color="auto"/>
        <w:right w:val="none" w:sz="0" w:space="0" w:color="auto"/>
      </w:divBdr>
    </w:div>
    <w:div w:id="181167043">
      <w:bodyDiv w:val="1"/>
      <w:marLeft w:val="0"/>
      <w:marRight w:val="0"/>
      <w:marTop w:val="0"/>
      <w:marBottom w:val="0"/>
      <w:divBdr>
        <w:top w:val="none" w:sz="0" w:space="0" w:color="auto"/>
        <w:left w:val="none" w:sz="0" w:space="0" w:color="auto"/>
        <w:bottom w:val="none" w:sz="0" w:space="0" w:color="auto"/>
        <w:right w:val="none" w:sz="0" w:space="0" w:color="auto"/>
      </w:divBdr>
    </w:div>
    <w:div w:id="250552186">
      <w:bodyDiv w:val="1"/>
      <w:marLeft w:val="0"/>
      <w:marRight w:val="0"/>
      <w:marTop w:val="0"/>
      <w:marBottom w:val="0"/>
      <w:divBdr>
        <w:top w:val="none" w:sz="0" w:space="0" w:color="auto"/>
        <w:left w:val="none" w:sz="0" w:space="0" w:color="auto"/>
        <w:bottom w:val="none" w:sz="0" w:space="0" w:color="auto"/>
        <w:right w:val="none" w:sz="0" w:space="0" w:color="auto"/>
      </w:divBdr>
    </w:div>
    <w:div w:id="355159041">
      <w:bodyDiv w:val="1"/>
      <w:marLeft w:val="0"/>
      <w:marRight w:val="0"/>
      <w:marTop w:val="0"/>
      <w:marBottom w:val="0"/>
      <w:divBdr>
        <w:top w:val="none" w:sz="0" w:space="0" w:color="auto"/>
        <w:left w:val="none" w:sz="0" w:space="0" w:color="auto"/>
        <w:bottom w:val="none" w:sz="0" w:space="0" w:color="auto"/>
        <w:right w:val="none" w:sz="0" w:space="0" w:color="auto"/>
      </w:divBdr>
    </w:div>
    <w:div w:id="505828075">
      <w:bodyDiv w:val="1"/>
      <w:marLeft w:val="0"/>
      <w:marRight w:val="0"/>
      <w:marTop w:val="0"/>
      <w:marBottom w:val="0"/>
      <w:divBdr>
        <w:top w:val="none" w:sz="0" w:space="0" w:color="auto"/>
        <w:left w:val="none" w:sz="0" w:space="0" w:color="auto"/>
        <w:bottom w:val="none" w:sz="0" w:space="0" w:color="auto"/>
        <w:right w:val="none" w:sz="0" w:space="0" w:color="auto"/>
      </w:divBdr>
      <w:divsChild>
        <w:div w:id="35082185">
          <w:marLeft w:val="0"/>
          <w:marRight w:val="0"/>
          <w:marTop w:val="0"/>
          <w:marBottom w:val="0"/>
          <w:divBdr>
            <w:top w:val="none" w:sz="0" w:space="0" w:color="auto"/>
            <w:left w:val="none" w:sz="0" w:space="0" w:color="auto"/>
            <w:bottom w:val="none" w:sz="0" w:space="0" w:color="auto"/>
            <w:right w:val="none" w:sz="0" w:space="0" w:color="auto"/>
          </w:divBdr>
        </w:div>
        <w:div w:id="2073192326">
          <w:marLeft w:val="0"/>
          <w:marRight w:val="0"/>
          <w:marTop w:val="0"/>
          <w:marBottom w:val="0"/>
          <w:divBdr>
            <w:top w:val="none" w:sz="0" w:space="0" w:color="auto"/>
            <w:left w:val="none" w:sz="0" w:space="0" w:color="auto"/>
            <w:bottom w:val="none" w:sz="0" w:space="0" w:color="auto"/>
            <w:right w:val="none" w:sz="0" w:space="0" w:color="auto"/>
          </w:divBdr>
        </w:div>
      </w:divsChild>
    </w:div>
    <w:div w:id="507985800">
      <w:bodyDiv w:val="1"/>
      <w:marLeft w:val="0"/>
      <w:marRight w:val="0"/>
      <w:marTop w:val="0"/>
      <w:marBottom w:val="0"/>
      <w:divBdr>
        <w:top w:val="none" w:sz="0" w:space="0" w:color="auto"/>
        <w:left w:val="none" w:sz="0" w:space="0" w:color="auto"/>
        <w:bottom w:val="none" w:sz="0" w:space="0" w:color="auto"/>
        <w:right w:val="none" w:sz="0" w:space="0" w:color="auto"/>
      </w:divBdr>
    </w:div>
    <w:div w:id="536358232">
      <w:bodyDiv w:val="1"/>
      <w:marLeft w:val="0"/>
      <w:marRight w:val="0"/>
      <w:marTop w:val="0"/>
      <w:marBottom w:val="0"/>
      <w:divBdr>
        <w:top w:val="none" w:sz="0" w:space="0" w:color="auto"/>
        <w:left w:val="none" w:sz="0" w:space="0" w:color="auto"/>
        <w:bottom w:val="none" w:sz="0" w:space="0" w:color="auto"/>
        <w:right w:val="none" w:sz="0" w:space="0" w:color="auto"/>
      </w:divBdr>
    </w:div>
    <w:div w:id="635835820">
      <w:bodyDiv w:val="1"/>
      <w:marLeft w:val="0"/>
      <w:marRight w:val="0"/>
      <w:marTop w:val="0"/>
      <w:marBottom w:val="0"/>
      <w:divBdr>
        <w:top w:val="none" w:sz="0" w:space="0" w:color="auto"/>
        <w:left w:val="none" w:sz="0" w:space="0" w:color="auto"/>
        <w:bottom w:val="none" w:sz="0" w:space="0" w:color="auto"/>
        <w:right w:val="none" w:sz="0" w:space="0" w:color="auto"/>
      </w:divBdr>
    </w:div>
    <w:div w:id="795639484">
      <w:bodyDiv w:val="1"/>
      <w:marLeft w:val="0"/>
      <w:marRight w:val="0"/>
      <w:marTop w:val="0"/>
      <w:marBottom w:val="0"/>
      <w:divBdr>
        <w:top w:val="none" w:sz="0" w:space="0" w:color="auto"/>
        <w:left w:val="none" w:sz="0" w:space="0" w:color="auto"/>
        <w:bottom w:val="none" w:sz="0" w:space="0" w:color="auto"/>
        <w:right w:val="none" w:sz="0" w:space="0" w:color="auto"/>
      </w:divBdr>
    </w:div>
    <w:div w:id="864097976">
      <w:bodyDiv w:val="1"/>
      <w:marLeft w:val="0"/>
      <w:marRight w:val="0"/>
      <w:marTop w:val="0"/>
      <w:marBottom w:val="0"/>
      <w:divBdr>
        <w:top w:val="none" w:sz="0" w:space="0" w:color="auto"/>
        <w:left w:val="none" w:sz="0" w:space="0" w:color="auto"/>
        <w:bottom w:val="none" w:sz="0" w:space="0" w:color="auto"/>
        <w:right w:val="none" w:sz="0" w:space="0" w:color="auto"/>
      </w:divBdr>
    </w:div>
    <w:div w:id="1042511485">
      <w:bodyDiv w:val="1"/>
      <w:marLeft w:val="0"/>
      <w:marRight w:val="0"/>
      <w:marTop w:val="0"/>
      <w:marBottom w:val="0"/>
      <w:divBdr>
        <w:top w:val="none" w:sz="0" w:space="0" w:color="auto"/>
        <w:left w:val="none" w:sz="0" w:space="0" w:color="auto"/>
        <w:bottom w:val="none" w:sz="0" w:space="0" w:color="auto"/>
        <w:right w:val="none" w:sz="0" w:space="0" w:color="auto"/>
      </w:divBdr>
    </w:div>
    <w:div w:id="1173884544">
      <w:bodyDiv w:val="1"/>
      <w:marLeft w:val="0"/>
      <w:marRight w:val="0"/>
      <w:marTop w:val="0"/>
      <w:marBottom w:val="0"/>
      <w:divBdr>
        <w:top w:val="none" w:sz="0" w:space="0" w:color="auto"/>
        <w:left w:val="none" w:sz="0" w:space="0" w:color="auto"/>
        <w:bottom w:val="none" w:sz="0" w:space="0" w:color="auto"/>
        <w:right w:val="none" w:sz="0" w:space="0" w:color="auto"/>
      </w:divBdr>
    </w:div>
    <w:div w:id="1208302833">
      <w:bodyDiv w:val="1"/>
      <w:marLeft w:val="0"/>
      <w:marRight w:val="0"/>
      <w:marTop w:val="0"/>
      <w:marBottom w:val="0"/>
      <w:divBdr>
        <w:top w:val="none" w:sz="0" w:space="0" w:color="auto"/>
        <w:left w:val="none" w:sz="0" w:space="0" w:color="auto"/>
        <w:bottom w:val="none" w:sz="0" w:space="0" w:color="auto"/>
        <w:right w:val="none" w:sz="0" w:space="0" w:color="auto"/>
      </w:divBdr>
    </w:div>
    <w:div w:id="1263033010">
      <w:bodyDiv w:val="1"/>
      <w:marLeft w:val="0"/>
      <w:marRight w:val="0"/>
      <w:marTop w:val="0"/>
      <w:marBottom w:val="0"/>
      <w:divBdr>
        <w:top w:val="none" w:sz="0" w:space="0" w:color="auto"/>
        <w:left w:val="none" w:sz="0" w:space="0" w:color="auto"/>
        <w:bottom w:val="none" w:sz="0" w:space="0" w:color="auto"/>
        <w:right w:val="none" w:sz="0" w:space="0" w:color="auto"/>
      </w:divBdr>
      <w:divsChild>
        <w:div w:id="119956700">
          <w:marLeft w:val="0"/>
          <w:marRight w:val="0"/>
          <w:marTop w:val="0"/>
          <w:marBottom w:val="0"/>
          <w:divBdr>
            <w:top w:val="none" w:sz="0" w:space="0" w:color="auto"/>
            <w:left w:val="none" w:sz="0" w:space="0" w:color="auto"/>
            <w:bottom w:val="none" w:sz="0" w:space="0" w:color="auto"/>
            <w:right w:val="none" w:sz="0" w:space="0" w:color="auto"/>
          </w:divBdr>
        </w:div>
        <w:div w:id="1922713854">
          <w:marLeft w:val="0"/>
          <w:marRight w:val="0"/>
          <w:marTop w:val="0"/>
          <w:marBottom w:val="0"/>
          <w:divBdr>
            <w:top w:val="none" w:sz="0" w:space="0" w:color="auto"/>
            <w:left w:val="none" w:sz="0" w:space="0" w:color="auto"/>
            <w:bottom w:val="none" w:sz="0" w:space="0" w:color="auto"/>
            <w:right w:val="none" w:sz="0" w:space="0" w:color="auto"/>
          </w:divBdr>
        </w:div>
      </w:divsChild>
    </w:div>
    <w:div w:id="1284846259">
      <w:bodyDiv w:val="1"/>
      <w:marLeft w:val="0"/>
      <w:marRight w:val="0"/>
      <w:marTop w:val="0"/>
      <w:marBottom w:val="0"/>
      <w:divBdr>
        <w:top w:val="none" w:sz="0" w:space="0" w:color="auto"/>
        <w:left w:val="none" w:sz="0" w:space="0" w:color="auto"/>
        <w:bottom w:val="none" w:sz="0" w:space="0" w:color="auto"/>
        <w:right w:val="none" w:sz="0" w:space="0" w:color="auto"/>
      </w:divBdr>
    </w:div>
    <w:div w:id="1287739526">
      <w:bodyDiv w:val="1"/>
      <w:marLeft w:val="0"/>
      <w:marRight w:val="0"/>
      <w:marTop w:val="0"/>
      <w:marBottom w:val="0"/>
      <w:divBdr>
        <w:top w:val="none" w:sz="0" w:space="0" w:color="auto"/>
        <w:left w:val="none" w:sz="0" w:space="0" w:color="auto"/>
        <w:bottom w:val="none" w:sz="0" w:space="0" w:color="auto"/>
        <w:right w:val="none" w:sz="0" w:space="0" w:color="auto"/>
      </w:divBdr>
    </w:div>
    <w:div w:id="1308704405">
      <w:bodyDiv w:val="1"/>
      <w:marLeft w:val="0"/>
      <w:marRight w:val="0"/>
      <w:marTop w:val="0"/>
      <w:marBottom w:val="0"/>
      <w:divBdr>
        <w:top w:val="none" w:sz="0" w:space="0" w:color="auto"/>
        <w:left w:val="none" w:sz="0" w:space="0" w:color="auto"/>
        <w:bottom w:val="none" w:sz="0" w:space="0" w:color="auto"/>
        <w:right w:val="none" w:sz="0" w:space="0" w:color="auto"/>
      </w:divBdr>
    </w:div>
    <w:div w:id="1551109001">
      <w:bodyDiv w:val="1"/>
      <w:marLeft w:val="0"/>
      <w:marRight w:val="0"/>
      <w:marTop w:val="0"/>
      <w:marBottom w:val="0"/>
      <w:divBdr>
        <w:top w:val="none" w:sz="0" w:space="0" w:color="auto"/>
        <w:left w:val="none" w:sz="0" w:space="0" w:color="auto"/>
        <w:bottom w:val="none" w:sz="0" w:space="0" w:color="auto"/>
        <w:right w:val="none" w:sz="0" w:space="0" w:color="auto"/>
      </w:divBdr>
    </w:div>
    <w:div w:id="1583953757">
      <w:bodyDiv w:val="1"/>
      <w:marLeft w:val="0"/>
      <w:marRight w:val="0"/>
      <w:marTop w:val="0"/>
      <w:marBottom w:val="0"/>
      <w:divBdr>
        <w:top w:val="none" w:sz="0" w:space="0" w:color="auto"/>
        <w:left w:val="none" w:sz="0" w:space="0" w:color="auto"/>
        <w:bottom w:val="none" w:sz="0" w:space="0" w:color="auto"/>
        <w:right w:val="none" w:sz="0" w:space="0" w:color="auto"/>
      </w:divBdr>
    </w:div>
    <w:div w:id="1762333802">
      <w:bodyDiv w:val="1"/>
      <w:marLeft w:val="0"/>
      <w:marRight w:val="0"/>
      <w:marTop w:val="0"/>
      <w:marBottom w:val="0"/>
      <w:divBdr>
        <w:top w:val="none" w:sz="0" w:space="0" w:color="auto"/>
        <w:left w:val="none" w:sz="0" w:space="0" w:color="auto"/>
        <w:bottom w:val="none" w:sz="0" w:space="0" w:color="auto"/>
        <w:right w:val="none" w:sz="0" w:space="0" w:color="auto"/>
      </w:divBdr>
    </w:div>
    <w:div w:id="2055999386">
      <w:bodyDiv w:val="1"/>
      <w:marLeft w:val="0"/>
      <w:marRight w:val="0"/>
      <w:marTop w:val="0"/>
      <w:marBottom w:val="0"/>
      <w:divBdr>
        <w:top w:val="none" w:sz="0" w:space="0" w:color="auto"/>
        <w:left w:val="none" w:sz="0" w:space="0" w:color="auto"/>
        <w:bottom w:val="none" w:sz="0" w:space="0" w:color="auto"/>
        <w:right w:val="none" w:sz="0" w:space="0" w:color="auto"/>
      </w:divBdr>
    </w:div>
    <w:div w:id="213459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RO/TXT/?uri=celex:52025DC0095" TargetMode="External"/><Relationship Id="rId21" Type="http://schemas.openxmlformats.org/officeDocument/2006/relationships/hyperlink" Target="https://eur-lex.europa.eu/eli/reg/2021/765/oj" TargetMode="External"/><Relationship Id="rId34" Type="http://schemas.openxmlformats.org/officeDocument/2006/relationships/hyperlink" Target="https://eur-lex.europa.eu/legal-content/RO/TXT/?uri=COM%3A2025%3A1027%3AFIN" TargetMode="External"/><Relationship Id="rId42" Type="http://schemas.openxmlformats.org/officeDocument/2006/relationships/hyperlink" Target="https://eic.ec.europa.eu/eic-funding-opportunities/eic-accelerator_en" TargetMode="External"/><Relationship Id="rId47" Type="http://schemas.openxmlformats.org/officeDocument/2006/relationships/hyperlink" Target="https://op.europa.eu/en/publication-detail/-/publication/616cce9c-39e5-11f0-8a44-01aa75ed71a1/language-en" TargetMode="External"/><Relationship Id="rId50" Type="http://schemas.openxmlformats.org/officeDocument/2006/relationships/hyperlink" Target="https://eur-lex.europa.eu/legal-content/EN/TXT/?uri=PI_COM%3AC%282025%294011&amp;qid=1767969425803" TargetMode="External"/><Relationship Id="rId55" Type="http://schemas.openxmlformats.org/officeDocument/2006/relationships/hyperlink" Target="https://digital-strategy.ec.europa.eu/en/news/eu-launches-investai-initiative-mobilise-eu200-billion-investment-artificial-intelligence" TargetMode="External"/><Relationship Id="rId63" Type="http://schemas.openxmlformats.org/officeDocument/2006/relationships/hyperlink" Target="https://allatlanticocean.org/" TargetMode="External"/><Relationship Id="rId68" Type="http://schemas.openxmlformats.org/officeDocument/2006/relationships/hyperlink" Target="https://joint-research-centre.ec.europa.eu/jrc-news-and-updates/jrc-launches-border-security-lab-2025-04-10_en" TargetMode="External"/><Relationship Id="rId76" Type="http://schemas.openxmlformats.org/officeDocument/2006/relationships/hyperlink" Target="https://data.europa.eu/doi/10.2760/6258234" TargetMode="External"/><Relationship Id="rId84" Type="http://schemas.openxmlformats.org/officeDocument/2006/relationships/hyperlink" Target="https://www.horizonresultsbooster.eu/" TargetMode="External"/><Relationship Id="rId89" Type="http://schemas.openxmlformats.org/officeDocument/2006/relationships/hyperlink" Target="https://webgate.ec.europa.eu/circabc-ewpp/d/d/workspace/SpacesStore/d5970517-ec7c-4aa6-af5a-77fc8dde33a9/download" TargetMode="External"/><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urban-mobility-observatory.transport.ec.europa.eu/news-events/news/joint-research-centre-launches-transport-poverty-hub-enhance-regional-connectivity-across-europe-2025-07-15_en" TargetMode="External"/><Relationship Id="rId92" Type="http://schemas.openxmlformats.org/officeDocument/2006/relationships/hyperlink" Target="https://www.ejp-eurad.eu/"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environment.ec.europa.eu/strategy/bioeconomy-strategy_en" TargetMode="External"/><Relationship Id="rId11" Type="http://schemas.openxmlformats.org/officeDocument/2006/relationships/image" Target="media/image1.emf"/><Relationship Id="rId24" Type="http://schemas.openxmlformats.org/officeDocument/2006/relationships/hyperlink" Target="https://research-and-innovation.ec.europa.eu/strategy/strategy-research-and-innovation/our-digital-future/european-strategy-research-and-technology-infrastructures_en" TargetMode="External"/><Relationship Id="rId32" Type="http://schemas.openxmlformats.org/officeDocument/2006/relationships/hyperlink" Target="https://new-european-bauhaus.europa.eu/index_en" TargetMode="External"/><Relationship Id="rId37" Type="http://schemas.openxmlformats.org/officeDocument/2006/relationships/hyperlink" Target="https://commission.europa.eu/document/download/e6d5db69-e0ab-4bec-9dc0-3867b4373019_en?filename=White%20paper%20for%20European%20defence%20%E2%80%93%20Readiness%202030.pdf" TargetMode="External"/><Relationship Id="rId40" Type="http://schemas.openxmlformats.org/officeDocument/2006/relationships/hyperlink" Target="https://ec.europa.eu/commission/presscorner/detail/en/ip_25_1076" TargetMode="External"/><Relationship Id="rId45" Type="http://schemas.openxmlformats.org/officeDocument/2006/relationships/hyperlink" Target="https://eur-lex.europa.eu/legal-content/RO/TXT/?uri=CELEX%3A52025DC0280&amp;qid=1750857768458" TargetMode="External"/><Relationship Id="rId53" Type="http://schemas.openxmlformats.org/officeDocument/2006/relationships/hyperlink" Target="https://digital-strategy.ec.europa.eu/ro/library/ai-continent-action-plan" TargetMode="External"/><Relationship Id="rId58" Type="http://schemas.openxmlformats.org/officeDocument/2006/relationships/hyperlink" Target="https://research-and-innovation.ec.europa.eu/news/all-research-and-innovation-news/european-commission-unveils-european-digital-twin-ocean-prototype-2024-06-13_en" TargetMode="External"/><Relationship Id="rId66" Type="http://schemas.openxmlformats.org/officeDocument/2006/relationships/hyperlink" Target="https://commission.europa.eu/topics/international-partnerships/global-gateway_en" TargetMode="External"/><Relationship Id="rId74" Type="http://schemas.openxmlformats.org/officeDocument/2006/relationships/hyperlink" Target="https://data.europa.eu/doi/10.2777/2941871" TargetMode="External"/><Relationship Id="rId79" Type="http://schemas.openxmlformats.org/officeDocument/2006/relationships/hyperlink" Target="https://op.europa.eu/en/publication-detail/-/publication/19a32537-c11d-11f0-a612-01aa75ed71a1/language-en" TargetMode="External"/><Relationship Id="rId87" Type="http://schemas.openxmlformats.org/officeDocument/2006/relationships/hyperlink" Target="https://eur-lex.europa.eu/legal-content/RO/TXT/?uri=CELEX:32025R1304" TargetMode="External"/><Relationship Id="rId102"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op.europa.eu/en/publication-detail/-/publication/c246671a-78b6-11f0-9af8-01aa75ed71a1" TargetMode="External"/><Relationship Id="rId82" Type="http://schemas.openxmlformats.org/officeDocument/2006/relationships/hyperlink" Target="https://eur-lex.europa.eu/legal-content/EN/TXT/?uri=CELEX%3A52025SC0555&amp;qid=1754901373347" TargetMode="External"/><Relationship Id="rId90" Type="http://schemas.openxmlformats.org/officeDocument/2006/relationships/hyperlink" Target="https://cordis.europa.eu/project/id/101213280" TargetMode="External"/><Relationship Id="rId95" Type="http://schemas.openxmlformats.org/officeDocument/2006/relationships/header" Target="header4.xml"/><Relationship Id="rId19" Type="http://schemas.openxmlformats.org/officeDocument/2006/relationships/hyperlink" Target="https://eur-lex.europa.eu/eli/treaty/euratom_2012/oj" TargetMode="External"/><Relationship Id="rId14" Type="http://schemas.openxmlformats.org/officeDocument/2006/relationships/footer" Target="footer1.xml"/><Relationship Id="rId22" Type="http://schemas.openxmlformats.org/officeDocument/2006/relationships/hyperlink" Target="https://commission.europa.eu/topics/research-and-innovation/choose-europe_en" TargetMode="External"/><Relationship Id="rId27" Type="http://schemas.openxmlformats.org/officeDocument/2006/relationships/hyperlink" Target="https://eur-lex.europa.eu/legal-content/RON/TXT/PDF/?uri=CELEX:52025DC0075" TargetMode="External"/><Relationship Id="rId30" Type="http://schemas.openxmlformats.org/officeDocument/2006/relationships/hyperlink" Target="https://eur-lex.europa.eu/legal-content/EN/TXT/?uri=CELEX%3A52025PC1022" TargetMode="External"/><Relationship Id="rId35" Type="http://schemas.openxmlformats.org/officeDocument/2006/relationships/hyperlink" Target="https://eur-lex.europa.eu/legal-content/RO/TXT/?uri=celex:52025JC0130" TargetMode="External"/><Relationship Id="rId43" Type="http://schemas.openxmlformats.org/officeDocument/2006/relationships/hyperlink" Target="https://commission.europa.eu/topics/competitiveness/clean-industrial-deal_ro" TargetMode="External"/><Relationship Id="rId48" Type="http://schemas.openxmlformats.org/officeDocument/2006/relationships/hyperlink" Target="https://eur-lex.europa.eu/legal-content/RO/TXT/?uri=CELEX%3A52025DC0079&amp;qid=1741780110418" TargetMode="External"/><Relationship Id="rId56" Type="http://schemas.openxmlformats.org/officeDocument/2006/relationships/hyperlink" Target="https://digital-strategy.ec.europa.eu/en/news/eu-expands-network-ai-factories-strengthening-its-ai-continent-ambition" TargetMode="External"/><Relationship Id="rId64" Type="http://schemas.openxmlformats.org/officeDocument/2006/relationships/hyperlink" Target="https://allatlanticocean.org/news/tackling-coastal-risks-new-all-atlantic-network-of-beacon-sites-launched-to-link-local-resilience-efforts/" TargetMode="External"/><Relationship Id="rId69" Type="http://schemas.openxmlformats.org/officeDocument/2006/relationships/hyperlink" Target="https://publications.jrc.ec.europa.eu/repository/handle/JRC144743" TargetMode="External"/><Relationship Id="rId77" Type="http://schemas.openxmlformats.org/officeDocument/2006/relationships/hyperlink" Target="https://data.europa.eu/doi/10.2777/4058193" TargetMode="External"/><Relationship Id="rId100"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eur-lex.europa.eu/legal-content/RO/TXT/?uri=CELEX%3A52025DC1005&amp;qid=1770212329024" TargetMode="External"/><Relationship Id="rId72" Type="http://schemas.openxmlformats.org/officeDocument/2006/relationships/hyperlink" Target="https://joint-research-centre.ec.europa.eu/jrc-news-and-updates/air-quality-pm25-atlases-track-pollution-sources-eu-cities-and-beyond-2025-12-01_en" TargetMode="External"/><Relationship Id="rId80" Type="http://schemas.openxmlformats.org/officeDocument/2006/relationships/hyperlink" Target="https://research-and-innovation.ec.europa.eu/document/download/a3aa9b90-15c0-4ea7-b25e-9f4e29cfa740_en?filename=ec_rtd_he-evaluation-swd.pdf" TargetMode="External"/><Relationship Id="rId85" Type="http://schemas.openxmlformats.org/officeDocument/2006/relationships/hyperlink" Target="https://cordis.europa.eu/" TargetMode="External"/><Relationship Id="rId93" Type="http://schemas.openxmlformats.org/officeDocument/2006/relationships/hyperlink" Target="https://ec.europa.eu/commission/presscorner/detail/en/ip_25_2529" TargetMode="External"/><Relationship Id="rId98"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ommission.europa.eu/business-economy-euro/european-semester_ro" TargetMode="External"/><Relationship Id="rId33" Type="http://schemas.openxmlformats.org/officeDocument/2006/relationships/hyperlink" Target="https://eur-lex.europa.eu/legal-content/RO/TXT/PDF/?uri=CELEX:52025DC1026" TargetMode="External"/><Relationship Id="rId38" Type="http://schemas.openxmlformats.org/officeDocument/2006/relationships/hyperlink" Target="https://eur-lex.europa.eu/legal-content/RO/TXT/?uri=celex:52025JC0027" TargetMode="External"/><Relationship Id="rId46" Type="http://schemas.openxmlformats.org/officeDocument/2006/relationships/hyperlink" Target="https://eur-lex.europa.eu/legal-content/RO/ALL/?uri=comnat:COM_2025_0281_FIN" TargetMode="External"/><Relationship Id="rId59" Type="http://schemas.openxmlformats.org/officeDocument/2006/relationships/hyperlink" Target="https://eur-lex.europa.eu/legal-content/RO/TXT/?uri=celex:52025JC0140" TargetMode="External"/><Relationship Id="rId67" Type="http://schemas.openxmlformats.org/officeDocument/2006/relationships/hyperlink" Target="https://publications.jrc.ec.europa.eu/repository/handle/JRC142598" TargetMode="External"/><Relationship Id="rId20" Type="http://schemas.openxmlformats.org/officeDocument/2006/relationships/hyperlink" Target="https://eur-lex.europa.eu/legal-content/RO/ALL/?uri=CELEX:32021R0695" TargetMode="External"/><Relationship Id="rId41" Type="http://schemas.openxmlformats.org/officeDocument/2006/relationships/hyperlink" Target="https://strategic-technologies.europa.eu/index_en" TargetMode="External"/><Relationship Id="rId54" Type="http://schemas.openxmlformats.org/officeDocument/2006/relationships/hyperlink" Target="https://digital-strategy.ec.europa.eu/ro/policies/apply-ai" TargetMode="External"/><Relationship Id="rId62" Type="http://schemas.openxmlformats.org/officeDocument/2006/relationships/hyperlink" Target="http://stip.oecd.org/" TargetMode="External"/><Relationship Id="rId70" Type="http://schemas.openxmlformats.org/officeDocument/2006/relationships/hyperlink" Target="https://publications.jrc.ec.europa.eu/repository/handle/JRC142938" TargetMode="External"/><Relationship Id="rId75" Type="http://schemas.openxmlformats.org/officeDocument/2006/relationships/hyperlink" Target="https://op.europa.eu/en/publication-detail/-/publication/f740c592-1b56-11f0-b1a3-01aa75ed71a1" TargetMode="External"/><Relationship Id="rId83" Type="http://schemas.openxmlformats.org/officeDocument/2006/relationships/hyperlink" Target="https://ec.europa.eu/info/funding-tenders/opportunities/portal/screen/opportunities/horizon-results-platform" TargetMode="External"/><Relationship Id="rId88" Type="http://schemas.openxmlformats.org/officeDocument/2006/relationships/hyperlink" Target="https://eur-lex.europa.eu/legal-content/RO/TXT/?uri=celex:52025DC0061" TargetMode="External"/><Relationship Id="rId91" Type="http://schemas.openxmlformats.org/officeDocument/2006/relationships/hyperlink" Target="https://pianoforte-partnership.eu/"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research-and-innovation.ec.europa.eu/strategy/strategy-research-and-innovation/jobs-and-economy/eu-startup-and-scaleup-strategy_en" TargetMode="External"/><Relationship Id="rId28" Type="http://schemas.openxmlformats.org/officeDocument/2006/relationships/hyperlink" Target="https://eur-lex.europa.eu/legal-content/RO/TXT/?uri=celex:52025DC0530" TargetMode="External"/><Relationship Id="rId36" Type="http://schemas.openxmlformats.org/officeDocument/2006/relationships/hyperlink" Target="https://eur-lex.europa.eu/legal-content/RO/TXT/?uri=CELEX%3A52025DC0148" TargetMode="External"/><Relationship Id="rId49" Type="http://schemas.openxmlformats.org/officeDocument/2006/relationships/hyperlink" Target="https://energy.ec.europa.eu/publications/2025-progress-report-competitiveness-clean-energy-technologies_en" TargetMode="External"/><Relationship Id="rId57" Type="http://schemas.openxmlformats.org/officeDocument/2006/relationships/hyperlink" Target="https://digital-strategy.ec.europa.eu/en/library/quantum-europe-strategy" TargetMode="External"/><Relationship Id="rId10" Type="http://schemas.openxmlformats.org/officeDocument/2006/relationships/endnotes" Target="endnotes.xml"/><Relationship Id="rId31" Type="http://schemas.openxmlformats.org/officeDocument/2006/relationships/hyperlink" Target="https://eur-lex.europa.eu/legal-content/RO/TXT/?uri=CELEX%3A52025DC0525&amp;qid=1762330863739" TargetMode="External"/><Relationship Id="rId44" Type="http://schemas.openxmlformats.org/officeDocument/2006/relationships/hyperlink" Target="https://eur-lex.europa.eu/eli/dir/2025/2360/oj" TargetMode="External"/><Relationship Id="rId52" Type="http://schemas.openxmlformats.org/officeDocument/2006/relationships/hyperlink" Target="https://research-and-innovation.ec.europa.eu/strategy/strategy-research-and-innovation/our-digital-future/european-ai-science-strategy_en" TargetMode="External"/><Relationship Id="rId60" Type="http://schemas.openxmlformats.org/officeDocument/2006/relationships/hyperlink" Target="https://research-and-innovation.ec.europa.eu/knowledge-publications-tools-and-data/documents_en?f%5B0%5D=document_title%3ARecovery%20and%20Resilience%20Facility" TargetMode="External"/><Relationship Id="rId65" Type="http://schemas.openxmlformats.org/officeDocument/2006/relationships/hyperlink" Target="https://allatlanticocean.org/news/all-atlantic-blue-intergenerational-programme-and-its-pilot-integrated-platform-launched-to-strengthen-ocean-cooperation-across-generations/" TargetMode="External"/><Relationship Id="rId73" Type="http://schemas.openxmlformats.org/officeDocument/2006/relationships/hyperlink" Target="https://ec.europa.eu/info/funding-tenders/opportunities/docs/2021-2027/common/guidance/list-3rd-country-participation_horizon-euratom_en.pdf" TargetMode="External"/><Relationship Id="rId78" Type="http://schemas.openxmlformats.org/officeDocument/2006/relationships/hyperlink" Target="https://data.europa.eu/doi/10.2777/1580173" TargetMode="External"/><Relationship Id="rId81" Type="http://schemas.openxmlformats.org/officeDocument/2006/relationships/hyperlink" Target="https://eur-lex.europa.eu/legal-content/RO/TXT/?uri=celex:52025DC0189" TargetMode="External"/><Relationship Id="rId86" Type="http://schemas.openxmlformats.org/officeDocument/2006/relationships/hyperlink" Target="https://eur-lex.europa.eu/legal-content/RO/TXT/?uri=celex:52025PC0060" TargetMode="External"/><Relationship Id="rId94" Type="http://schemas.openxmlformats.org/officeDocument/2006/relationships/hyperlink" Target="https://research-and-innovation.ec.europa.eu/research-area/industrial-research-and-innovation/chemicals-and-advanced-materials/towards-advanced-materials-act_en" TargetMode="External"/><Relationship Id="rId99" Type="http://schemas.openxmlformats.org/officeDocument/2006/relationships/header" Target="header6.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ur-lex.europa.eu/legal-content/RO/TXT/?uri=celex%3A12016ME%2FTXT" TargetMode="External"/><Relationship Id="rId39" Type="http://schemas.openxmlformats.org/officeDocument/2006/relationships/hyperlink" Target="https://eur-lex.europa.eu/legal-content/RO/TXT/?uri=celex:52025DC084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ic.ec.europa.eu/document/download/7b947b36-66cb-4471-a2d0-158d5ae6770f_en?filename=EIC-Impact-Repor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Kind xmlns="d47e9b79-a238-4c23-8f8d-deb36af73bea" xsi:nil="true"/>
    <lcf76f155ced4ddcb4097134ff3c332f xmlns="d47e9b79-a238-4c23-8f8d-deb36af73bea">
      <Terms xmlns="http://schemas.microsoft.com/office/infopath/2007/PartnerControls"/>
    </lcf76f155ced4ddcb4097134ff3c332f>
    <Category xmlns="d47e9b79-a238-4c23-8f8d-deb36af73b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0" ma:contentTypeDescription="Create a new document." ma:contentTypeScope="" ma:versionID="7384a6ee1daebc9df38306f9ab095c63">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d8f634f894a04c6f772a1a5f5f52b46d"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ategory" minOccurs="0"/>
                <xsd:element ref="ns3:SharedWithUsers" minOccurs="0"/>
                <xsd:element ref="ns3:SharedWithDetails" minOccurs="0"/>
                <xsd:element ref="ns2:MediaServiceDateTaken" minOccurs="0"/>
                <xsd:element ref="ns2:MediaLengthInSeconds" minOccurs="0"/>
                <xsd:element ref="ns2:MediaServiceAutoTags" minOccurs="0"/>
                <xsd:element ref="ns2:Kind"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ategory" ma:index="12" nillable="true" ma:displayName="Category" ma:format="Dropdown" ma:internalName="Category">
      <xsd:simpleType>
        <xsd:restriction base="dms:Choice">
          <xsd:enumeration value="Choice 1"/>
          <xsd:enumeration value="fake category"/>
          <xsd:enumeration value="double fake"/>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Kind" ma:index="18" nillable="true" ma:displayName="Kind" ma:format="Dropdown" ma:indexed="true" ma:internalName="Kind">
      <xsd:simpleType>
        <xsd:restriction base="dms:Choice">
          <xsd:enumeration value="fake kind"/>
          <xsd:enumeration value="Choice 2"/>
          <xsd:enumeration value="Choice 3"/>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56360f6-15ca-43a0-b8cc-5886f6f40889}"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97B13C-CC42-4D42-B0EA-3AC3D912816F}">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2.xml><?xml version="1.0" encoding="utf-8"?>
<ds:datastoreItem xmlns:ds="http://schemas.openxmlformats.org/officeDocument/2006/customXml" ds:itemID="{C6953BF9-CD24-4CF0-A6FB-59914B357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35BB4-B09A-4668-B3DB-DB3728F41E65}">
  <ds:schemaRefs>
    <ds:schemaRef ds:uri="http://schemas.microsoft.com/sharepoint/v3/contenttype/forms"/>
  </ds:schemaRefs>
</ds:datastoreItem>
</file>

<file path=customXml/itemProps4.xml><?xml version="1.0" encoding="utf-8"?>
<ds:datastoreItem xmlns:ds="http://schemas.openxmlformats.org/officeDocument/2006/customXml" ds:itemID="{16CCA99C-8D5D-4EAD-9707-8A9828CC8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6279</Words>
  <Characters>35795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41991</CharactersWithSpaces>
  <SharedDoc>false</SharedDoc>
  <HLinks>
    <vt:vector size="468" baseType="variant">
      <vt:variant>
        <vt:i4>6291530</vt:i4>
      </vt:variant>
      <vt:variant>
        <vt:i4>237</vt:i4>
      </vt:variant>
      <vt:variant>
        <vt:i4>0</vt:i4>
      </vt:variant>
      <vt:variant>
        <vt:i4>5</vt:i4>
      </vt:variant>
      <vt:variant>
        <vt:lpwstr>https://research-and-innovation.ec.europa.eu/research-area/industrial-research-and-innovation/chemicals-and-advanced-materials/towards-advanced-materials-act_en</vt:lpwstr>
      </vt:variant>
      <vt:variant>
        <vt:lpwstr/>
      </vt:variant>
      <vt:variant>
        <vt:i4>7536738</vt:i4>
      </vt:variant>
      <vt:variant>
        <vt:i4>234</vt:i4>
      </vt:variant>
      <vt:variant>
        <vt:i4>0</vt:i4>
      </vt:variant>
      <vt:variant>
        <vt:i4>5</vt:i4>
      </vt:variant>
      <vt:variant>
        <vt:lpwstr>https://ec.europa.eu/commission/presscorner/detail/en/ip_25_2529</vt:lpwstr>
      </vt:variant>
      <vt:variant>
        <vt:lpwstr/>
      </vt:variant>
      <vt:variant>
        <vt:i4>4194371</vt:i4>
      </vt:variant>
      <vt:variant>
        <vt:i4>231</vt:i4>
      </vt:variant>
      <vt:variant>
        <vt:i4>0</vt:i4>
      </vt:variant>
      <vt:variant>
        <vt:i4>5</vt:i4>
      </vt:variant>
      <vt:variant>
        <vt:lpwstr>https://www.ejp-eurad.eu/</vt:lpwstr>
      </vt:variant>
      <vt:variant>
        <vt:lpwstr/>
      </vt:variant>
      <vt:variant>
        <vt:i4>2818105</vt:i4>
      </vt:variant>
      <vt:variant>
        <vt:i4>228</vt:i4>
      </vt:variant>
      <vt:variant>
        <vt:i4>0</vt:i4>
      </vt:variant>
      <vt:variant>
        <vt:i4>5</vt:i4>
      </vt:variant>
      <vt:variant>
        <vt:lpwstr>https://pianoforte-partnership.eu/</vt:lpwstr>
      </vt:variant>
      <vt:variant>
        <vt:lpwstr/>
      </vt:variant>
      <vt:variant>
        <vt:i4>1310740</vt:i4>
      </vt:variant>
      <vt:variant>
        <vt:i4>225</vt:i4>
      </vt:variant>
      <vt:variant>
        <vt:i4>0</vt:i4>
      </vt:variant>
      <vt:variant>
        <vt:i4>5</vt:i4>
      </vt:variant>
      <vt:variant>
        <vt:lpwstr>https://cordis.europa.eu/project/id/101213280</vt:lpwstr>
      </vt:variant>
      <vt:variant>
        <vt:lpwstr/>
      </vt:variant>
      <vt:variant>
        <vt:i4>6160389</vt:i4>
      </vt:variant>
      <vt:variant>
        <vt:i4>222</vt:i4>
      </vt:variant>
      <vt:variant>
        <vt:i4>0</vt:i4>
      </vt:variant>
      <vt:variant>
        <vt:i4>5</vt:i4>
      </vt:variant>
      <vt:variant>
        <vt:lpwstr>https://webgate.ec.europa.eu/circabc-ewpp/d/d/workspace/SpacesStore/d5970517-ec7c-4aa6-af5a-77fc8dde33a9/download</vt:lpwstr>
      </vt:variant>
      <vt:variant>
        <vt:lpwstr/>
      </vt:variant>
      <vt:variant>
        <vt:i4>393233</vt:i4>
      </vt:variant>
      <vt:variant>
        <vt:i4>219</vt:i4>
      </vt:variant>
      <vt:variant>
        <vt:i4>0</vt:i4>
      </vt:variant>
      <vt:variant>
        <vt:i4>5</vt:i4>
      </vt:variant>
      <vt:variant>
        <vt:lpwstr>https://eur-lex.europa.eu/legal-content/EN/TXT/?uri=celex:52025DC0061</vt:lpwstr>
      </vt:variant>
      <vt:variant>
        <vt:lpwstr/>
      </vt:variant>
      <vt:variant>
        <vt:i4>1114181</vt:i4>
      </vt:variant>
      <vt:variant>
        <vt:i4>216</vt:i4>
      </vt:variant>
      <vt:variant>
        <vt:i4>0</vt:i4>
      </vt:variant>
      <vt:variant>
        <vt:i4>5</vt:i4>
      </vt:variant>
      <vt:variant>
        <vt:lpwstr>https://eur-lex.europa.eu/legal-content/en/TXT/?uri=CELEX:32025R1304</vt:lpwstr>
      </vt:variant>
      <vt:variant>
        <vt:lpwstr/>
      </vt:variant>
      <vt:variant>
        <vt:i4>1179665</vt:i4>
      </vt:variant>
      <vt:variant>
        <vt:i4>213</vt:i4>
      </vt:variant>
      <vt:variant>
        <vt:i4>0</vt:i4>
      </vt:variant>
      <vt:variant>
        <vt:i4>5</vt:i4>
      </vt:variant>
      <vt:variant>
        <vt:lpwstr>https://eur-lex.europa.eu/legal-content/EN/TXT/?uri=celex:52025PC0060</vt:lpwstr>
      </vt:variant>
      <vt:variant>
        <vt:lpwstr/>
      </vt:variant>
      <vt:variant>
        <vt:i4>5570568</vt:i4>
      </vt:variant>
      <vt:variant>
        <vt:i4>210</vt:i4>
      </vt:variant>
      <vt:variant>
        <vt:i4>0</vt:i4>
      </vt:variant>
      <vt:variant>
        <vt:i4>5</vt:i4>
      </vt:variant>
      <vt:variant>
        <vt:lpwstr>https://cordis.europa.eu/</vt:lpwstr>
      </vt:variant>
      <vt:variant>
        <vt:lpwstr/>
      </vt:variant>
      <vt:variant>
        <vt:i4>1900612</vt:i4>
      </vt:variant>
      <vt:variant>
        <vt:i4>207</vt:i4>
      </vt:variant>
      <vt:variant>
        <vt:i4>0</vt:i4>
      </vt:variant>
      <vt:variant>
        <vt:i4>5</vt:i4>
      </vt:variant>
      <vt:variant>
        <vt:lpwstr>https://www.horizonresultsbooster.eu/</vt:lpwstr>
      </vt:variant>
      <vt:variant>
        <vt:lpwstr/>
      </vt:variant>
      <vt:variant>
        <vt:i4>4915200</vt:i4>
      </vt:variant>
      <vt:variant>
        <vt:i4>204</vt:i4>
      </vt:variant>
      <vt:variant>
        <vt:i4>0</vt:i4>
      </vt:variant>
      <vt:variant>
        <vt:i4>5</vt:i4>
      </vt:variant>
      <vt:variant>
        <vt:lpwstr>https://ec.europa.eu/info/funding-tenders/opportunities/portal/screen/opportunities/horizon-results-platform</vt:lpwstr>
      </vt:variant>
      <vt:variant>
        <vt:lpwstr/>
      </vt:variant>
      <vt:variant>
        <vt:i4>1638415</vt:i4>
      </vt:variant>
      <vt:variant>
        <vt:i4>201</vt:i4>
      </vt:variant>
      <vt:variant>
        <vt:i4>0</vt:i4>
      </vt:variant>
      <vt:variant>
        <vt:i4>5</vt:i4>
      </vt:variant>
      <vt:variant>
        <vt:lpwstr>https://eur-lex.europa.eu/legal-content/EN/TXT/?uri=CELEX%3A52025SC0555&amp;qid=1754901373347</vt:lpwstr>
      </vt:variant>
      <vt:variant>
        <vt:lpwstr/>
      </vt:variant>
      <vt:variant>
        <vt:i4>524304</vt:i4>
      </vt:variant>
      <vt:variant>
        <vt:i4>198</vt:i4>
      </vt:variant>
      <vt:variant>
        <vt:i4>0</vt:i4>
      </vt:variant>
      <vt:variant>
        <vt:i4>5</vt:i4>
      </vt:variant>
      <vt:variant>
        <vt:lpwstr>https://eur-lex.europa.eu/legal-content/EN/TXT/?uri=celex:52025DC0189</vt:lpwstr>
      </vt:variant>
      <vt:variant>
        <vt:lpwstr/>
      </vt:variant>
      <vt:variant>
        <vt:i4>7471194</vt:i4>
      </vt:variant>
      <vt:variant>
        <vt:i4>195</vt:i4>
      </vt:variant>
      <vt:variant>
        <vt:i4>0</vt:i4>
      </vt:variant>
      <vt:variant>
        <vt:i4>5</vt:i4>
      </vt:variant>
      <vt:variant>
        <vt:lpwstr>https://research-and-innovation.ec.europa.eu/document/download/a3aa9b90-15c0-4ea7-b25e-9f4e29cfa740_en?filename=ec_rtd_he-evaluation-swd.pdf</vt:lpwstr>
      </vt:variant>
      <vt:variant>
        <vt:lpwstr/>
      </vt:variant>
      <vt:variant>
        <vt:i4>4784195</vt:i4>
      </vt:variant>
      <vt:variant>
        <vt:i4>192</vt:i4>
      </vt:variant>
      <vt:variant>
        <vt:i4>0</vt:i4>
      </vt:variant>
      <vt:variant>
        <vt:i4>5</vt:i4>
      </vt:variant>
      <vt:variant>
        <vt:lpwstr>https://op.europa.eu/en/publication-detail/-/publication/19a32537-c11d-11f0-a612-01aa75ed71a1/language-en</vt:lpwstr>
      </vt:variant>
      <vt:variant>
        <vt:lpwstr/>
      </vt:variant>
      <vt:variant>
        <vt:i4>3407911</vt:i4>
      </vt:variant>
      <vt:variant>
        <vt:i4>189</vt:i4>
      </vt:variant>
      <vt:variant>
        <vt:i4>0</vt:i4>
      </vt:variant>
      <vt:variant>
        <vt:i4>5</vt:i4>
      </vt:variant>
      <vt:variant>
        <vt:lpwstr>https://data.europa.eu/doi/10.2777/1580173</vt:lpwstr>
      </vt:variant>
      <vt:variant>
        <vt:lpwstr/>
      </vt:variant>
      <vt:variant>
        <vt:i4>3932196</vt:i4>
      </vt:variant>
      <vt:variant>
        <vt:i4>186</vt:i4>
      </vt:variant>
      <vt:variant>
        <vt:i4>0</vt:i4>
      </vt:variant>
      <vt:variant>
        <vt:i4>5</vt:i4>
      </vt:variant>
      <vt:variant>
        <vt:lpwstr>https://data.europa.eu/doi/10.2777/4058193</vt:lpwstr>
      </vt:variant>
      <vt:variant>
        <vt:lpwstr/>
      </vt:variant>
      <vt:variant>
        <vt:i4>3997741</vt:i4>
      </vt:variant>
      <vt:variant>
        <vt:i4>183</vt:i4>
      </vt:variant>
      <vt:variant>
        <vt:i4>0</vt:i4>
      </vt:variant>
      <vt:variant>
        <vt:i4>5</vt:i4>
      </vt:variant>
      <vt:variant>
        <vt:lpwstr>https://data.europa.eu/doi/10.2760/6258234</vt:lpwstr>
      </vt:variant>
      <vt:variant>
        <vt:lpwstr/>
      </vt:variant>
      <vt:variant>
        <vt:i4>6225986</vt:i4>
      </vt:variant>
      <vt:variant>
        <vt:i4>180</vt:i4>
      </vt:variant>
      <vt:variant>
        <vt:i4>0</vt:i4>
      </vt:variant>
      <vt:variant>
        <vt:i4>5</vt:i4>
      </vt:variant>
      <vt:variant>
        <vt:lpwstr>https://op.europa.eu/en/publication-detail/-/publication/f740c592-1b56-11f0-b1a3-01aa75ed71a1</vt:lpwstr>
      </vt:variant>
      <vt:variant>
        <vt:lpwstr/>
      </vt:variant>
      <vt:variant>
        <vt:i4>3145770</vt:i4>
      </vt:variant>
      <vt:variant>
        <vt:i4>177</vt:i4>
      </vt:variant>
      <vt:variant>
        <vt:i4>0</vt:i4>
      </vt:variant>
      <vt:variant>
        <vt:i4>5</vt:i4>
      </vt:variant>
      <vt:variant>
        <vt:lpwstr>https://data.europa.eu/doi/10.2777/2941871</vt:lpwstr>
      </vt:variant>
      <vt:variant>
        <vt:lpwstr/>
      </vt:variant>
      <vt:variant>
        <vt:i4>5242889</vt:i4>
      </vt:variant>
      <vt:variant>
        <vt:i4>168</vt:i4>
      </vt:variant>
      <vt:variant>
        <vt:i4>0</vt:i4>
      </vt:variant>
      <vt:variant>
        <vt:i4>5</vt:i4>
      </vt:variant>
      <vt:variant>
        <vt:lpwstr>https://ec.europa.eu/info/funding-tenders/opportunities/docs/2021-2027/common/guidance/list-3rd-country-participation_horizon-euratom_en.pdf</vt:lpwstr>
      </vt:variant>
      <vt:variant>
        <vt:lpwstr/>
      </vt:variant>
      <vt:variant>
        <vt:i4>7340103</vt:i4>
      </vt:variant>
      <vt:variant>
        <vt:i4>165</vt:i4>
      </vt:variant>
      <vt:variant>
        <vt:i4>0</vt:i4>
      </vt:variant>
      <vt:variant>
        <vt:i4>5</vt:i4>
      </vt:variant>
      <vt:variant>
        <vt:lpwstr>https://joint-research-centre.ec.europa.eu/jrc-news-and-updates/air-quality-pm25-atlases-track-pollution-sources-eu-cities-and-beyond-2025-12-01_en</vt:lpwstr>
      </vt:variant>
      <vt:variant>
        <vt:lpwstr/>
      </vt:variant>
      <vt:variant>
        <vt:i4>5898299</vt:i4>
      </vt:variant>
      <vt:variant>
        <vt:i4>162</vt:i4>
      </vt:variant>
      <vt:variant>
        <vt:i4>0</vt:i4>
      </vt:variant>
      <vt:variant>
        <vt:i4>5</vt:i4>
      </vt:variant>
      <vt:variant>
        <vt:lpwstr>https://urban-mobility-observatory.transport.ec.europa.eu/news-events/news/joint-research-centre-launches-transport-poverty-hub-enhance-regional-connectivity-across-europe-2025-07-15_en</vt:lpwstr>
      </vt:variant>
      <vt:variant>
        <vt:lpwstr/>
      </vt:variant>
      <vt:variant>
        <vt:i4>131148</vt:i4>
      </vt:variant>
      <vt:variant>
        <vt:i4>159</vt:i4>
      </vt:variant>
      <vt:variant>
        <vt:i4>0</vt:i4>
      </vt:variant>
      <vt:variant>
        <vt:i4>5</vt:i4>
      </vt:variant>
      <vt:variant>
        <vt:lpwstr>https://publications.jrc.ec.europa.eu/repository/handle/JRC142938</vt:lpwstr>
      </vt:variant>
      <vt:variant>
        <vt:lpwstr/>
      </vt:variant>
      <vt:variant>
        <vt:i4>196674</vt:i4>
      </vt:variant>
      <vt:variant>
        <vt:i4>156</vt:i4>
      </vt:variant>
      <vt:variant>
        <vt:i4>0</vt:i4>
      </vt:variant>
      <vt:variant>
        <vt:i4>5</vt:i4>
      </vt:variant>
      <vt:variant>
        <vt:lpwstr>https://publications.jrc.ec.europa.eu/repository/handle/JRC144743</vt:lpwstr>
      </vt:variant>
      <vt:variant>
        <vt:lpwstr/>
      </vt:variant>
      <vt:variant>
        <vt:i4>524341</vt:i4>
      </vt:variant>
      <vt:variant>
        <vt:i4>153</vt:i4>
      </vt:variant>
      <vt:variant>
        <vt:i4>0</vt:i4>
      </vt:variant>
      <vt:variant>
        <vt:i4>5</vt:i4>
      </vt:variant>
      <vt:variant>
        <vt:lpwstr>https://joint-research-centre.ec.europa.eu/jrc-news-and-updates/jrc-launches-border-security-lab-2025-04-10_en</vt:lpwstr>
      </vt:variant>
      <vt:variant>
        <vt:lpwstr/>
      </vt:variant>
      <vt:variant>
        <vt:i4>524352</vt:i4>
      </vt:variant>
      <vt:variant>
        <vt:i4>150</vt:i4>
      </vt:variant>
      <vt:variant>
        <vt:i4>0</vt:i4>
      </vt:variant>
      <vt:variant>
        <vt:i4>5</vt:i4>
      </vt:variant>
      <vt:variant>
        <vt:lpwstr>https://publications.jrc.ec.europa.eu/repository/handle/JRC142598</vt:lpwstr>
      </vt:variant>
      <vt:variant>
        <vt:lpwstr/>
      </vt:variant>
      <vt:variant>
        <vt:i4>2621447</vt:i4>
      </vt:variant>
      <vt:variant>
        <vt:i4>147</vt:i4>
      </vt:variant>
      <vt:variant>
        <vt:i4>0</vt:i4>
      </vt:variant>
      <vt:variant>
        <vt:i4>5</vt:i4>
      </vt:variant>
      <vt:variant>
        <vt:lpwstr>https://commission.europa.eu/topics/international-partnerships/global-gateway_en</vt:lpwstr>
      </vt:variant>
      <vt:variant>
        <vt:lpwstr/>
      </vt:variant>
      <vt:variant>
        <vt:i4>3997815</vt:i4>
      </vt:variant>
      <vt:variant>
        <vt:i4>144</vt:i4>
      </vt:variant>
      <vt:variant>
        <vt:i4>0</vt:i4>
      </vt:variant>
      <vt:variant>
        <vt:i4>5</vt:i4>
      </vt:variant>
      <vt:variant>
        <vt:lpwstr>https://allatlanticocean.org/news/all-atlantic-blue-intergenerational-programme-and-its-pilot-integrated-platform-launched-to-strengthen-ocean-cooperation-across-generations/</vt:lpwstr>
      </vt:variant>
      <vt:variant>
        <vt:lpwstr>:~:text=Brussels%2C%2025%20September%202025%20%E2%80%93%20The%20All-Atlantic%20Ocean,empower%20ocean%20professionals%20across%20generations%2C%20cultures%2C%20and%20continents.</vt:lpwstr>
      </vt:variant>
      <vt:variant>
        <vt:i4>1441817</vt:i4>
      </vt:variant>
      <vt:variant>
        <vt:i4>141</vt:i4>
      </vt:variant>
      <vt:variant>
        <vt:i4>0</vt:i4>
      </vt:variant>
      <vt:variant>
        <vt:i4>5</vt:i4>
      </vt:variant>
      <vt:variant>
        <vt:lpwstr>https://allatlanticocean.org/news/tackling-coastal-risks-new-all-atlantic-network-of-beacon-sites-launched-to-link-local-resilience-efforts/</vt:lpwstr>
      </vt:variant>
      <vt:variant>
        <vt:lpwstr/>
      </vt:variant>
      <vt:variant>
        <vt:i4>8126589</vt:i4>
      </vt:variant>
      <vt:variant>
        <vt:i4>138</vt:i4>
      </vt:variant>
      <vt:variant>
        <vt:i4>0</vt:i4>
      </vt:variant>
      <vt:variant>
        <vt:i4>5</vt:i4>
      </vt:variant>
      <vt:variant>
        <vt:lpwstr>https://allatlanticocean.org/</vt:lpwstr>
      </vt:variant>
      <vt:variant>
        <vt:lpwstr>:~:text=What%20is%20the%20All-Atlantic%20Ocean%20Research%20and%20Innovation,Atlantic%20to%20enhance%20marine%20research%20and%20innovation%20cooperation.</vt:lpwstr>
      </vt:variant>
      <vt:variant>
        <vt:i4>1441885</vt:i4>
      </vt:variant>
      <vt:variant>
        <vt:i4>135</vt:i4>
      </vt:variant>
      <vt:variant>
        <vt:i4>0</vt:i4>
      </vt:variant>
      <vt:variant>
        <vt:i4>5</vt:i4>
      </vt:variant>
      <vt:variant>
        <vt:lpwstr>http://stip.oecd.org/</vt:lpwstr>
      </vt:variant>
      <vt:variant>
        <vt:lpwstr/>
      </vt:variant>
      <vt:variant>
        <vt:i4>393245</vt:i4>
      </vt:variant>
      <vt:variant>
        <vt:i4>132</vt:i4>
      </vt:variant>
      <vt:variant>
        <vt:i4>0</vt:i4>
      </vt:variant>
      <vt:variant>
        <vt:i4>5</vt:i4>
      </vt:variant>
      <vt:variant>
        <vt:lpwstr>https://op.europa.eu/en/publication-detail/-/publication/c246671a-78b6-11f0-9af8-01aa75ed71a1</vt:lpwstr>
      </vt:variant>
      <vt:variant>
        <vt:lpwstr/>
      </vt:variant>
      <vt:variant>
        <vt:i4>6619248</vt:i4>
      </vt:variant>
      <vt:variant>
        <vt:i4>129</vt:i4>
      </vt:variant>
      <vt:variant>
        <vt:i4>0</vt:i4>
      </vt:variant>
      <vt:variant>
        <vt:i4>5</vt:i4>
      </vt:variant>
      <vt:variant>
        <vt:lpwstr>https://research-and-innovation.ec.europa.eu/knowledge-publications-tools-and-data/documents_en?f%5B0%5D=document_title%3ARecovery%20and%20Resilience%20Facility</vt:lpwstr>
      </vt:variant>
      <vt:variant>
        <vt:lpwstr/>
      </vt:variant>
      <vt:variant>
        <vt:i4>655376</vt:i4>
      </vt:variant>
      <vt:variant>
        <vt:i4>126</vt:i4>
      </vt:variant>
      <vt:variant>
        <vt:i4>0</vt:i4>
      </vt:variant>
      <vt:variant>
        <vt:i4>5</vt:i4>
      </vt:variant>
      <vt:variant>
        <vt:lpwstr>https://eur-lex.europa.eu/legal-content/EN/TXT/?uri=celex:52025JC0140</vt:lpwstr>
      </vt:variant>
      <vt:variant>
        <vt:lpwstr/>
      </vt:variant>
      <vt:variant>
        <vt:i4>327791</vt:i4>
      </vt:variant>
      <vt:variant>
        <vt:i4>123</vt:i4>
      </vt:variant>
      <vt:variant>
        <vt:i4>0</vt:i4>
      </vt:variant>
      <vt:variant>
        <vt:i4>5</vt:i4>
      </vt:variant>
      <vt:variant>
        <vt:lpwstr>https://research-and-innovation.ec.europa.eu/news/all-research-and-innovation-news/european-commission-unveils-european-digital-twin-ocean-prototype-2024-06-13_en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1572949</vt:i4>
      </vt:variant>
      <vt:variant>
        <vt:i4>117</vt:i4>
      </vt:variant>
      <vt:variant>
        <vt:i4>0</vt:i4>
      </vt:variant>
      <vt:variant>
        <vt:i4>5</vt:i4>
      </vt:variant>
      <vt:variant>
        <vt:lpwstr>https://digital-strategy.ec.europa.eu/en/news/eu-expands-network-ai-factories-strengthening-its-ai-continent-ambition</vt:lpwstr>
      </vt:variant>
      <vt:variant>
        <vt:lpwstr/>
      </vt:variant>
      <vt:variant>
        <vt:i4>3014689</vt:i4>
      </vt:variant>
      <vt:variant>
        <vt:i4>114</vt:i4>
      </vt:variant>
      <vt:variant>
        <vt:i4>0</vt:i4>
      </vt:variant>
      <vt:variant>
        <vt:i4>5</vt:i4>
      </vt:variant>
      <vt:variant>
        <vt:lpwstr>https://digital-strategy.ec.europa.eu/en/news/eu-launches-investai-initiative-mobilise-eu200-billion-investment-artificial-intelligence</vt:lpwstr>
      </vt:variant>
      <vt:variant>
        <vt:lpwstr/>
      </vt:variant>
      <vt:variant>
        <vt:i4>2949223</vt:i4>
      </vt:variant>
      <vt:variant>
        <vt:i4>111</vt:i4>
      </vt:variant>
      <vt:variant>
        <vt:i4>0</vt:i4>
      </vt:variant>
      <vt:variant>
        <vt:i4>5</vt:i4>
      </vt:variant>
      <vt:variant>
        <vt:lpwstr>https://digital-strategy.ec.europa.eu/en/policies/apply-ai</vt:lpwstr>
      </vt:variant>
      <vt:variant>
        <vt:lpwstr/>
      </vt:variant>
      <vt:variant>
        <vt:i4>5832723</vt:i4>
      </vt:variant>
      <vt:variant>
        <vt:i4>108</vt:i4>
      </vt:variant>
      <vt:variant>
        <vt:i4>0</vt:i4>
      </vt:variant>
      <vt:variant>
        <vt:i4>5</vt:i4>
      </vt:variant>
      <vt:variant>
        <vt:lpwstr>https://digital-strategy.ec.europa.eu/en/library/ai-continent-action-plan</vt:lpwstr>
      </vt:variant>
      <vt:variant>
        <vt:lpwstr/>
      </vt:variant>
      <vt:variant>
        <vt:i4>2097171</vt:i4>
      </vt:variant>
      <vt:variant>
        <vt:i4>105</vt:i4>
      </vt:variant>
      <vt:variant>
        <vt:i4>0</vt:i4>
      </vt:variant>
      <vt:variant>
        <vt:i4>5</vt:i4>
      </vt:variant>
      <vt:variant>
        <vt:lpwstr>https://research-and-innovation.ec.europa.eu/strategy/strategy-research-and-innovation/our-digital-future/european-ai-science-strategy_en</vt:lpwstr>
      </vt:variant>
      <vt:variant>
        <vt:lpwstr>resource-for-ai-science-in-europe-raise</vt:lpwstr>
      </vt:variant>
      <vt:variant>
        <vt:i4>196614</vt:i4>
      </vt:variant>
      <vt:variant>
        <vt:i4>102</vt:i4>
      </vt:variant>
      <vt:variant>
        <vt:i4>0</vt:i4>
      </vt:variant>
      <vt:variant>
        <vt:i4>5</vt:i4>
      </vt:variant>
      <vt:variant>
        <vt:lpwstr>https://eur-lex.europa.eu/legal-content/EN/TXT/?uri=CELEX%3A52025DC1005&amp;qid=1770212329024</vt:lpwstr>
      </vt:variant>
      <vt:variant>
        <vt:lpwstr/>
      </vt:variant>
      <vt:variant>
        <vt:i4>7143515</vt:i4>
      </vt:variant>
      <vt:variant>
        <vt:i4>99</vt:i4>
      </vt:variant>
      <vt:variant>
        <vt:i4>0</vt:i4>
      </vt:variant>
      <vt:variant>
        <vt:i4>5</vt:i4>
      </vt:variant>
      <vt:variant>
        <vt:lpwstr>https://eur-lex.europa.eu/legal-content/EN/TXT/?uri=PI_COM%3AC%282025%294011&amp;qid=1767969425803</vt:lpwstr>
      </vt:variant>
      <vt:variant>
        <vt:lpwstr/>
      </vt:variant>
      <vt:variant>
        <vt:i4>5570660</vt:i4>
      </vt:variant>
      <vt:variant>
        <vt:i4>96</vt:i4>
      </vt:variant>
      <vt:variant>
        <vt:i4>0</vt:i4>
      </vt:variant>
      <vt:variant>
        <vt:i4>5</vt:i4>
      </vt:variant>
      <vt:variant>
        <vt:lpwstr>https://energy.ec.europa.eu/publications/2025-progress-report-competitiveness-clean-energy-technologies_en</vt:lpwstr>
      </vt:variant>
      <vt:variant>
        <vt:lpwstr/>
      </vt:variant>
      <vt:variant>
        <vt:i4>327689</vt:i4>
      </vt:variant>
      <vt:variant>
        <vt:i4>93</vt:i4>
      </vt:variant>
      <vt:variant>
        <vt:i4>0</vt:i4>
      </vt:variant>
      <vt:variant>
        <vt:i4>5</vt:i4>
      </vt:variant>
      <vt:variant>
        <vt:lpwstr>https://eur-lex.europa.eu/legal-content/EN/TXT/?uri=CELEX%3A52025DC0079&amp;qid=1741780110418</vt:lpwstr>
      </vt:variant>
      <vt:variant>
        <vt:lpwstr/>
      </vt:variant>
      <vt:variant>
        <vt:i4>4849735</vt:i4>
      </vt:variant>
      <vt:variant>
        <vt:i4>90</vt:i4>
      </vt:variant>
      <vt:variant>
        <vt:i4>0</vt:i4>
      </vt:variant>
      <vt:variant>
        <vt:i4>5</vt:i4>
      </vt:variant>
      <vt:variant>
        <vt:lpwstr>https://op.europa.eu/en/publication-detail/-/publication/616cce9c-39e5-11f0-8a44-01aa75ed71a1/language-en</vt:lpwstr>
      </vt:variant>
      <vt:variant>
        <vt:lpwstr/>
      </vt:variant>
      <vt:variant>
        <vt:i4>8126543</vt:i4>
      </vt:variant>
      <vt:variant>
        <vt:i4>87</vt:i4>
      </vt:variant>
      <vt:variant>
        <vt:i4>0</vt:i4>
      </vt:variant>
      <vt:variant>
        <vt:i4>5</vt:i4>
      </vt:variant>
      <vt:variant>
        <vt:lpwstr>https://eur-lex.europa.eu/legal-content/EN/ALL/?uri=comnat:COM_2025_0281_FIN</vt:lpwstr>
      </vt:variant>
      <vt:variant>
        <vt:lpwstr/>
      </vt:variant>
      <vt:variant>
        <vt:i4>786444</vt:i4>
      </vt:variant>
      <vt:variant>
        <vt:i4>84</vt:i4>
      </vt:variant>
      <vt:variant>
        <vt:i4>0</vt:i4>
      </vt:variant>
      <vt:variant>
        <vt:i4>5</vt:i4>
      </vt:variant>
      <vt:variant>
        <vt:lpwstr>https://eur-lex.europa.eu/legal-content/EN/TXT/?uri=CELEX%3A52025DC0280&amp;qid=1750857768458</vt:lpwstr>
      </vt:variant>
      <vt:variant>
        <vt:lpwstr/>
      </vt:variant>
      <vt:variant>
        <vt:i4>7471142</vt:i4>
      </vt:variant>
      <vt:variant>
        <vt:i4>81</vt:i4>
      </vt:variant>
      <vt:variant>
        <vt:i4>0</vt:i4>
      </vt:variant>
      <vt:variant>
        <vt:i4>5</vt:i4>
      </vt:variant>
      <vt:variant>
        <vt:lpwstr>https://eur-lex.europa.eu/eli/dir/2025/2360/oj</vt:lpwstr>
      </vt:variant>
      <vt:variant>
        <vt:lpwstr/>
      </vt:variant>
      <vt:variant>
        <vt:i4>3538957</vt:i4>
      </vt:variant>
      <vt:variant>
        <vt:i4>78</vt:i4>
      </vt:variant>
      <vt:variant>
        <vt:i4>0</vt:i4>
      </vt:variant>
      <vt:variant>
        <vt:i4>5</vt:i4>
      </vt:variant>
      <vt:variant>
        <vt:lpwstr>https://commission.europa.eu/topics/competitiveness/clean-industrial-deal_en</vt:lpwstr>
      </vt:variant>
      <vt:variant>
        <vt:lpwstr/>
      </vt:variant>
      <vt:variant>
        <vt:i4>1769575</vt:i4>
      </vt:variant>
      <vt:variant>
        <vt:i4>75</vt:i4>
      </vt:variant>
      <vt:variant>
        <vt:i4>0</vt:i4>
      </vt:variant>
      <vt:variant>
        <vt:i4>5</vt:i4>
      </vt:variant>
      <vt:variant>
        <vt:lpwstr>https://eic.ec.europa.eu/eic-funding-opportunities/eic-accelerator_en</vt:lpwstr>
      </vt:variant>
      <vt:variant>
        <vt:lpwstr/>
      </vt:variant>
      <vt:variant>
        <vt:i4>1966189</vt:i4>
      </vt:variant>
      <vt:variant>
        <vt:i4>72</vt:i4>
      </vt:variant>
      <vt:variant>
        <vt:i4>0</vt:i4>
      </vt:variant>
      <vt:variant>
        <vt:i4>5</vt:i4>
      </vt:variant>
      <vt:variant>
        <vt:lpwstr>https://strategic-technologies.europa.eu/index_en</vt:lpwstr>
      </vt:variant>
      <vt:variant>
        <vt:lpwstr/>
      </vt:variant>
      <vt:variant>
        <vt:i4>7929956</vt:i4>
      </vt:variant>
      <vt:variant>
        <vt:i4>69</vt:i4>
      </vt:variant>
      <vt:variant>
        <vt:i4>0</vt:i4>
      </vt:variant>
      <vt:variant>
        <vt:i4>5</vt:i4>
      </vt:variant>
      <vt:variant>
        <vt:lpwstr>https://ec.europa.eu/commission/presscorner/detail/en/ip_25_1076</vt:lpwstr>
      </vt:variant>
      <vt:variant>
        <vt:lpwstr/>
      </vt:variant>
      <vt:variant>
        <vt:i4>262169</vt:i4>
      </vt:variant>
      <vt:variant>
        <vt:i4>66</vt:i4>
      </vt:variant>
      <vt:variant>
        <vt:i4>0</vt:i4>
      </vt:variant>
      <vt:variant>
        <vt:i4>5</vt:i4>
      </vt:variant>
      <vt:variant>
        <vt:lpwstr>https://eur-lex.europa.eu/legal-content/EN/TXT/?uri=celex:52025DC0845</vt:lpwstr>
      </vt:variant>
      <vt:variant>
        <vt:lpwstr/>
      </vt:variant>
      <vt:variant>
        <vt:i4>786449</vt:i4>
      </vt:variant>
      <vt:variant>
        <vt:i4>63</vt:i4>
      </vt:variant>
      <vt:variant>
        <vt:i4>0</vt:i4>
      </vt:variant>
      <vt:variant>
        <vt:i4>5</vt:i4>
      </vt:variant>
      <vt:variant>
        <vt:lpwstr>https://eur-lex.europa.eu/legal-content/EN/TXT/?uri=celex:52025JC0027</vt:lpwstr>
      </vt:variant>
      <vt:variant>
        <vt:lpwstr/>
      </vt:variant>
      <vt:variant>
        <vt:i4>4784161</vt:i4>
      </vt:variant>
      <vt:variant>
        <vt:i4>60</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57</vt:i4>
      </vt:variant>
      <vt:variant>
        <vt:i4>0</vt:i4>
      </vt:variant>
      <vt:variant>
        <vt:i4>5</vt:i4>
      </vt:variant>
      <vt:variant>
        <vt:lpwstr>https://eur-lex.europa.eu/legal-content/EN/TXT/?uri=CELEX%3A52025DC0148</vt:lpwstr>
      </vt:variant>
      <vt:variant>
        <vt:lpwstr/>
      </vt:variant>
      <vt:variant>
        <vt:i4>851984</vt:i4>
      </vt:variant>
      <vt:variant>
        <vt:i4>54</vt:i4>
      </vt:variant>
      <vt:variant>
        <vt:i4>0</vt:i4>
      </vt:variant>
      <vt:variant>
        <vt:i4>5</vt:i4>
      </vt:variant>
      <vt:variant>
        <vt:lpwstr>https://eur-lex.europa.eu/legal-content/EN/TXT/?uri=celex:52025JC0130</vt:lpwstr>
      </vt:variant>
      <vt:variant>
        <vt:lpwstr/>
      </vt:variant>
      <vt:variant>
        <vt:i4>7143470</vt:i4>
      </vt:variant>
      <vt:variant>
        <vt:i4>51</vt:i4>
      </vt:variant>
      <vt:variant>
        <vt:i4>0</vt:i4>
      </vt:variant>
      <vt:variant>
        <vt:i4>5</vt:i4>
      </vt:variant>
      <vt:variant>
        <vt:lpwstr>https://eur-lex.europa.eu/legal-content/EN/TXT/?uri=COM%3A2025%3A1027%3AFIN</vt:lpwstr>
      </vt:variant>
      <vt:variant>
        <vt:lpwstr/>
      </vt:variant>
      <vt:variant>
        <vt:i4>1376346</vt:i4>
      </vt:variant>
      <vt:variant>
        <vt:i4>48</vt:i4>
      </vt:variant>
      <vt:variant>
        <vt:i4>0</vt:i4>
      </vt:variant>
      <vt:variant>
        <vt:i4>5</vt:i4>
      </vt:variant>
      <vt:variant>
        <vt:lpwstr>https://eur-lex.europa.eu/legal-content/EN/TXT/PDF/?uri=CELEX:52025DC1026</vt:lpwstr>
      </vt:variant>
      <vt:variant>
        <vt:lpwstr/>
      </vt:variant>
      <vt:variant>
        <vt:i4>6357061</vt:i4>
      </vt:variant>
      <vt:variant>
        <vt:i4>45</vt:i4>
      </vt:variant>
      <vt:variant>
        <vt:i4>0</vt:i4>
      </vt:variant>
      <vt:variant>
        <vt:i4>5</vt:i4>
      </vt:variant>
      <vt:variant>
        <vt:lpwstr>https://new-european-bauhaus.europa.eu/index_en</vt:lpwstr>
      </vt:variant>
      <vt:variant>
        <vt:lpwstr/>
      </vt:variant>
      <vt:variant>
        <vt:i4>2</vt:i4>
      </vt:variant>
      <vt:variant>
        <vt:i4>42</vt:i4>
      </vt:variant>
      <vt:variant>
        <vt:i4>0</vt:i4>
      </vt:variant>
      <vt:variant>
        <vt:i4>5</vt:i4>
      </vt:variant>
      <vt:variant>
        <vt:lpwstr>https://eur-lex.europa.eu/legal-content/EN/TXT/?uri=CELEX%3A52025DC0525&amp;qid=1762330863739</vt:lpwstr>
      </vt:variant>
      <vt:variant>
        <vt:lpwstr/>
      </vt:variant>
      <vt:variant>
        <vt:i4>6881314</vt:i4>
      </vt:variant>
      <vt:variant>
        <vt:i4>39</vt:i4>
      </vt:variant>
      <vt:variant>
        <vt:i4>0</vt:i4>
      </vt:variant>
      <vt:variant>
        <vt:i4>5</vt:i4>
      </vt:variant>
      <vt:variant>
        <vt:lpwstr>https://eur-lex.europa.eu/legal-content/EN/TXT/?uri=CELEX%3A52025PC1022</vt:lpwstr>
      </vt:variant>
      <vt:variant>
        <vt:lpwstr/>
      </vt:variant>
      <vt:variant>
        <vt:i4>6291457</vt:i4>
      </vt:variant>
      <vt:variant>
        <vt:i4>36</vt:i4>
      </vt:variant>
      <vt:variant>
        <vt:i4>0</vt:i4>
      </vt:variant>
      <vt:variant>
        <vt:i4>5</vt:i4>
      </vt:variant>
      <vt:variant>
        <vt:lpwstr>https://environment.ec.europa.eu/strategy/bioeconomy-strategy_en</vt:lpwstr>
      </vt:variant>
      <vt:variant>
        <vt:lpwstr/>
      </vt:variant>
      <vt:variant>
        <vt:i4>196628</vt:i4>
      </vt:variant>
      <vt:variant>
        <vt:i4>33</vt:i4>
      </vt:variant>
      <vt:variant>
        <vt:i4>0</vt:i4>
      </vt:variant>
      <vt:variant>
        <vt:i4>5</vt:i4>
      </vt:variant>
      <vt:variant>
        <vt:lpwstr>https://eur-lex.europa.eu/legal-content/EN/TXT/?uri=celex:52025DC0530</vt:lpwstr>
      </vt:variant>
      <vt:variant>
        <vt:lpwstr/>
      </vt:variant>
      <vt:variant>
        <vt:i4>1114202</vt:i4>
      </vt:variant>
      <vt:variant>
        <vt:i4>27</vt:i4>
      </vt:variant>
      <vt:variant>
        <vt:i4>0</vt:i4>
      </vt:variant>
      <vt:variant>
        <vt:i4>5</vt:i4>
      </vt:variant>
      <vt:variant>
        <vt:lpwstr>https://eur-lex.europa.eu/legal-content/EN/TXT/PDF/?uri=CELEX:52025DC0075</vt:lpwstr>
      </vt:variant>
      <vt:variant>
        <vt:lpwstr/>
      </vt:variant>
      <vt:variant>
        <vt:i4>589841</vt:i4>
      </vt:variant>
      <vt:variant>
        <vt:i4>24</vt:i4>
      </vt:variant>
      <vt:variant>
        <vt:i4>0</vt:i4>
      </vt:variant>
      <vt:variant>
        <vt:i4>5</vt:i4>
      </vt:variant>
      <vt:variant>
        <vt:lpwstr>https://eur-lex.europa.eu/legal-content/EN/TXT/?uri=celex:52025DC0095</vt:lpwstr>
      </vt:variant>
      <vt:variant>
        <vt:lpwstr/>
      </vt:variant>
      <vt:variant>
        <vt:i4>6619212</vt:i4>
      </vt:variant>
      <vt:variant>
        <vt:i4>21</vt:i4>
      </vt:variant>
      <vt:variant>
        <vt:i4>0</vt:i4>
      </vt:variant>
      <vt:variant>
        <vt:i4>5</vt:i4>
      </vt:variant>
      <vt:variant>
        <vt:lpwstr>https://commission.europa.eu/business-economy-euro/european-semester_en</vt:lpwstr>
      </vt:variant>
      <vt:variant>
        <vt:lpwstr/>
      </vt:variant>
      <vt:variant>
        <vt:i4>5439593</vt:i4>
      </vt:variant>
      <vt:variant>
        <vt:i4>18</vt:i4>
      </vt:variant>
      <vt:variant>
        <vt:i4>0</vt:i4>
      </vt:variant>
      <vt:variant>
        <vt:i4>5</vt:i4>
      </vt:variant>
      <vt:variant>
        <vt:lpwstr>https://research-and-innovation.ec.europa.eu/strategy/strategy-research-and-innovation/our-digital-future/european-strategy-research-and-technology-infrastructures_en</vt:lpwstr>
      </vt:variant>
      <vt:variant>
        <vt:lpwstr/>
      </vt:variant>
      <vt:variant>
        <vt:i4>4194359</vt:i4>
      </vt:variant>
      <vt:variant>
        <vt:i4>15</vt:i4>
      </vt:variant>
      <vt:variant>
        <vt:i4>0</vt:i4>
      </vt:variant>
      <vt:variant>
        <vt:i4>5</vt:i4>
      </vt:variant>
      <vt:variant>
        <vt:lpwstr>https://research-and-innovation.ec.europa.eu/strategy/strategy-research-and-innovation/jobs-and-economy/eu-startup-and-scaleup-strategy_en</vt:lpwstr>
      </vt:variant>
      <vt:variant>
        <vt:lpwstr/>
      </vt:variant>
      <vt:variant>
        <vt:i4>8192019</vt:i4>
      </vt:variant>
      <vt:variant>
        <vt:i4>12</vt:i4>
      </vt:variant>
      <vt:variant>
        <vt:i4>0</vt:i4>
      </vt:variant>
      <vt:variant>
        <vt:i4>5</vt:i4>
      </vt:variant>
      <vt:variant>
        <vt:lpwstr>https://commission.europa.eu/topics/research-and-innovation/choose-europe_en</vt:lpwstr>
      </vt:variant>
      <vt:variant>
        <vt:lpwstr/>
      </vt:variant>
      <vt:variant>
        <vt:i4>5636176</vt:i4>
      </vt:variant>
      <vt:variant>
        <vt:i4>9</vt:i4>
      </vt:variant>
      <vt:variant>
        <vt:i4>0</vt:i4>
      </vt:variant>
      <vt:variant>
        <vt:i4>5</vt:i4>
      </vt:variant>
      <vt:variant>
        <vt:lpwstr>https://eur-lex.europa.eu/eli/reg/2021/765/oj</vt:lpwstr>
      </vt:variant>
      <vt:variant>
        <vt:lpwstr/>
      </vt:variant>
      <vt:variant>
        <vt:i4>1572957</vt:i4>
      </vt:variant>
      <vt:variant>
        <vt:i4>6</vt:i4>
      </vt:variant>
      <vt:variant>
        <vt:i4>0</vt:i4>
      </vt:variant>
      <vt:variant>
        <vt:i4>5</vt:i4>
      </vt:variant>
      <vt:variant>
        <vt:lpwstr>https://eur-lex.europa.eu/legal-content/EN/ALL/?uri=CELEX:32021R0695</vt:lpwstr>
      </vt:variant>
      <vt:variant>
        <vt:lpwstr/>
      </vt:variant>
      <vt:variant>
        <vt:i4>5374064</vt:i4>
      </vt:variant>
      <vt:variant>
        <vt:i4>3</vt:i4>
      </vt:variant>
      <vt:variant>
        <vt:i4>0</vt:i4>
      </vt:variant>
      <vt:variant>
        <vt:i4>5</vt:i4>
      </vt:variant>
      <vt:variant>
        <vt:lpwstr>https://eur-lex.europa.eu/eli/treaty/euratom_2012/oj</vt:lpwstr>
      </vt:variant>
      <vt:variant>
        <vt:lpwstr/>
      </vt:variant>
      <vt:variant>
        <vt:i4>5177429</vt:i4>
      </vt:variant>
      <vt:variant>
        <vt:i4>0</vt:i4>
      </vt:variant>
      <vt:variant>
        <vt:i4>0</vt:i4>
      </vt:variant>
      <vt:variant>
        <vt:i4>5</vt:i4>
      </vt:variant>
      <vt:variant>
        <vt:lpwstr>https://eur-lex.europa.eu/legal-content/EN/TXT/?uri=celex%3A12016ME%2FTXT</vt:lpwstr>
      </vt:variant>
      <vt:variant>
        <vt:lpwstr/>
      </vt:variant>
      <vt:variant>
        <vt:i4>6160433</vt:i4>
      </vt:variant>
      <vt:variant>
        <vt:i4>0</vt:i4>
      </vt:variant>
      <vt:variant>
        <vt:i4>0</vt:i4>
      </vt:variant>
      <vt:variant>
        <vt:i4>5</vt:i4>
      </vt:variant>
      <vt:variant>
        <vt:lpwstr>https://eic.ec.europa.eu/document/download/7b947b36-66cb-4471-a2d0-158d5ae6770f_en?filename=EIC-Impact-Report-2025.pdf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2026-04-21T10:14:00Z</dcterms:created>
  <dcterms:modified xsi:type="dcterms:W3CDTF">2026-05-28T08:00:00Z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2026-04-21T10:14:21Z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e69d4d1d-b6d1-4f93-b67c-2384300c4cd9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0x0101008CF1E423E1053143A72AC4DF303AC6F5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